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65.150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hint="eastAsia" w:ascii="宋体" w:hAnsi="宋体"/>
                      <w:sz w:val="28"/>
                      <w:szCs w:val="28"/>
                    </w:rPr>
                  </w:pPr>
                  <w:r>
                    <w:rPr>
                      <w:rFonts w:hint="eastAsia"/>
                    </w:rPr>
                    <w:t>DB44</w:t>
                  </w:r>
                </w:p>
              </w:tc>
            </w:tr>
          </w:tbl>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0"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94</w:t>
            </w:r>
            <w:r>
              <w:rPr>
                <w:rFonts w:ascii="黑体" w:hAnsi="黑体" w:eastAsia="黑体"/>
                <w:sz w:val="21"/>
                <w:szCs w:val="21"/>
              </w:rPr>
              <w:t>    </w:t>
            </w:r>
            <w:r>
              <w:rPr>
                <w:rFonts w:ascii="黑体" w:hAnsi="黑体" w:eastAsia="黑体"/>
                <w:sz w:val="21"/>
                <w:szCs w:val="21"/>
              </w:rPr>
              <w:fldChar w:fldCharType="end"/>
            </w:r>
            <w:bookmarkEnd w:id="0"/>
          </w:p>
        </w:tc>
      </w:tr>
    </w:tbl>
    <w:p>
      <w:pPr>
        <w:pStyle w:val="51"/>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hAnsi="黑体" w:eastAsia="黑体"/>
          <w:b w:val="0"/>
          <w:bCs w:val="0"/>
          <w:w w:val="100"/>
          <w:sz w:val="48"/>
          <w:szCs w:val="48"/>
        </w:rPr>
        <w:t>广东省地方标准</w:t>
      </w:r>
    </w:p>
    <w:bookmarkEnd w:id="1"/>
    <w:p>
      <w:pPr>
        <w:pStyle w:val="196"/>
        <w:rPr>
          <w:rFonts w:hint="eastAsia" w:eastAsia="黑体"/>
          <w:lang w:eastAsia="zh-CN"/>
        </w:rPr>
      </w:pPr>
      <w:r>
        <w:rPr>
          <w:rFonts w:hint="eastAsia"/>
        </w:rPr>
        <w:t>DB44</w:t>
      </w:r>
      <w:r>
        <w:t>/</w:t>
      </w:r>
      <w:r>
        <w:rPr>
          <w:rFonts w:hint="eastAsia"/>
        </w:rPr>
        <w:t>T</w:t>
      </w:r>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rPr>
          <w:rFonts w:hint="eastAsia" w:hAnsi="黑体"/>
        </w:rPr>
        <w:t>202</w:t>
      </w:r>
      <w:r>
        <w:rPr>
          <w:rFonts w:hint="eastAsia" w:hAnsi="黑体"/>
          <w:lang w:val="en-US" w:eastAsia="zh-CN"/>
        </w:rPr>
        <w:t>5</w:t>
      </w:r>
    </w:p>
    <w:p>
      <w:pPr>
        <w:pStyle w:val="197"/>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hint="eastAsia" w:ascii="黑体" w:hAnsi="黑体" w:eastAsia="黑体"/>
          <w:b w:val="0"/>
          <w:bCs w:val="0"/>
          <w:w w:val="100"/>
        </w:rPr>
      </w:pPr>
    </w:p>
    <w:p>
      <w:pPr>
        <w:pStyle w:val="198"/>
        <w:framePr w:h="6974" w:hRule="exact" w:wrap="around" w:x="1419" w:anchorLock="1"/>
        <w:rPr>
          <w:rFonts w:hint="eastAsia"/>
        </w:rPr>
      </w:pPr>
      <w:bookmarkStart w:id="4" w:name="OLE_LINK1"/>
      <w:r>
        <w:rPr>
          <w:rFonts w:hint="eastAsia"/>
        </w:rPr>
        <w:t>立体吸附桩水产养殖尾水生态处理技术规范</w:t>
      </w:r>
    </w:p>
    <w:bookmarkEnd w:id="4"/>
    <w:p>
      <w:pPr>
        <w:framePr w:w="9639" w:h="6974" w:hRule="exact" w:wrap="around" w:vAnchor="page" w:hAnchor="page" w:x="1419" w:y="6408" w:anchorLock="1"/>
        <w:ind w:left="-1418"/>
      </w:pPr>
    </w:p>
    <w:p>
      <w:pPr>
        <w:pStyle w:val="126"/>
        <w:framePr w:w="9639" w:h="6974" w:hRule="exact" w:wrap="around" w:vAnchor="page" w:hAnchor="page" w:x="1419" w:y="6408"/>
        <w:textAlignment w:val="bottom"/>
        <w:rPr>
          <w:rFonts w:eastAsia="黑体"/>
          <w:szCs w:val="28"/>
        </w:rPr>
      </w:pPr>
      <w:r>
        <w:rPr>
          <w:rFonts w:hint="eastAsia"/>
        </w:rPr>
        <w:t>Technical regulations</w:t>
      </w:r>
      <w:r>
        <w:t xml:space="preserve"> for </w:t>
      </w:r>
      <w:r>
        <w:rPr>
          <w:rFonts w:hint="eastAsia"/>
        </w:rPr>
        <w:t xml:space="preserve">ecological treatment of aquaculture wastewater by the </w:t>
      </w:r>
      <w:r>
        <w:t>facilities of stereoscopic eco-adsorption equipment</w:t>
      </w:r>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pBdr>
          <w:top w:val="none" w:color="auto" w:sz="0" w:space="0"/>
          <w:left w:val="none" w:color="auto" w:sz="0" w:space="0"/>
          <w:bottom w:val="none" w:color="auto" w:sz="0" w:space="0"/>
          <w:right w:val="none" w:color="auto" w:sz="0" w:space="0"/>
        </w:pBdr>
        <w:rPr>
          <w:b w:val="0"/>
          <w:bCs w:val="0"/>
        </w:rPr>
      </w:pPr>
      <w:bookmarkStart w:id="5" w:name="YZBS"/>
      <w:r>
        <w:rPr>
          <w:rFonts w:hint="eastAsia" w:ascii="黑体" w:hAnsi="黑体" w:eastAsia="黑体" w:cs="黑体"/>
          <w:b w:val="0"/>
          <w:bCs w:val="0"/>
        </w:rPr>
        <w:fldChar w:fldCharType="begin">
          <w:ffData>
            <w:name w:val="YZBS"/>
            <w:enabled/>
            <w:calcOnExit w:val="0"/>
            <w:textInput>
              <w:default w:val="（点击此处添加与国际标准一致性程度的标识）"/>
            </w:textInput>
          </w:ffData>
        </w:fldChar>
      </w:r>
      <w:r>
        <w:rPr>
          <w:rFonts w:hint="eastAsia" w:ascii="黑体" w:hAnsi="黑体" w:eastAsia="黑体" w:cs="黑体"/>
          <w:b w:val="0"/>
          <w:bCs w:val="0"/>
        </w:rPr>
        <w:instrText xml:space="preserve">FORMTEXT</w:instrText>
      </w:r>
      <w:r>
        <w:rPr>
          <w:rFonts w:hint="eastAsia" w:ascii="黑体" w:hAnsi="黑体" w:eastAsia="黑体" w:cs="黑体"/>
          <w:b w:val="0"/>
          <w:bCs w:val="0"/>
        </w:rPr>
        <w:fldChar w:fldCharType="separate"/>
      </w:r>
      <w:r>
        <w:rPr>
          <w:rFonts w:hint="eastAsia" w:ascii="黑体" w:hAnsi="黑体" w:eastAsia="黑体" w:cs="黑体"/>
          <w:b w:val="0"/>
          <w:bCs w:val="0"/>
        </w:rPr>
        <w:t>（点击此处添加与国际标准一致性程度的标识）</w:t>
      </w:r>
      <w:r>
        <w:rPr>
          <w:rFonts w:hint="eastAsia" w:ascii="黑体" w:hAnsi="黑体" w:eastAsia="黑体" w:cs="黑体"/>
          <w:b w:val="0"/>
          <w:bCs w:val="0"/>
        </w:rPr>
        <w:fldChar w:fldCharType="end"/>
      </w:r>
      <w:bookmarkEnd w:id="5"/>
    </w:p>
    <w:p>
      <w:pPr>
        <w:pStyle w:val="126"/>
        <w:framePr w:w="9639" w:h="6974" w:hRule="exact" w:wrap="around" w:vAnchor="page" w:hAnchor="page" w:x="1419" w:y="6408"/>
        <w:spacing w:before="440" w:after="160"/>
        <w:textAlignment w:val="bottom"/>
        <w:rPr>
          <w:rFonts w:hint="eastAsia" w:eastAsia="宋体"/>
          <w:sz w:val="24"/>
          <w:szCs w:val="28"/>
          <w:lang w:eastAsia="zh-CN"/>
        </w:rPr>
      </w:pPr>
      <w:r>
        <w:rPr>
          <w:rFonts w:hint="eastAsia"/>
          <w:sz w:val="24"/>
          <w:szCs w:val="28"/>
          <w:lang w:eastAsia="zh-CN"/>
        </w:rPr>
        <w:t>（</w:t>
      </w:r>
      <w:r>
        <w:rPr>
          <w:rFonts w:hint="eastAsia"/>
          <w:sz w:val="24"/>
          <w:szCs w:val="28"/>
          <w:lang w:val="en-US" w:eastAsia="zh-CN"/>
        </w:rPr>
        <w:t>征求意见稿</w:t>
      </w:r>
      <w:r>
        <w:rPr>
          <w:rFonts w:hint="eastAsia"/>
          <w:sz w:val="24"/>
          <w:szCs w:val="28"/>
          <w:lang w:eastAsia="zh-CN"/>
        </w:rPr>
        <w:t>）</w:t>
      </w:r>
    </w:p>
    <w:p>
      <w:pPr>
        <w:pStyle w:val="126"/>
        <w:framePr w:w="9639" w:h="6974" w:hRule="exact" w:wrap="around" w:vAnchor="page" w:hAnchor="page" w:x="1419" w:y="6408"/>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fldChar w:fldCharType="separate"/>
      </w:r>
      <w:r>
        <w:rPr>
          <w:sz w:val="21"/>
          <w:szCs w:val="28"/>
        </w:rPr>
        <w:t>  </w:t>
      </w:r>
      <w:r>
        <w:rPr>
          <w:rFonts w:hint="eastAsia"/>
          <w:sz w:val="21"/>
          <w:szCs w:val="28"/>
          <w:lang w:eastAsia="zh-CN"/>
        </w:rPr>
        <w:t>（</w:t>
      </w:r>
      <w:r>
        <w:rPr>
          <w:rFonts w:hint="eastAsia"/>
          <w:sz w:val="21"/>
          <w:szCs w:val="28"/>
          <w:lang w:val="en-US" w:eastAsia="zh-CN"/>
        </w:rPr>
        <w:t>本稿完成日期：2025-08-29）</w:t>
      </w:r>
      <w:r>
        <w:rPr>
          <w:sz w:val="21"/>
          <w:szCs w:val="28"/>
        </w:rPr>
        <w:t>   </w:t>
      </w:r>
      <w:r>
        <w:rPr>
          <w:sz w:val="21"/>
          <w:szCs w:val="28"/>
        </w:rPr>
        <w:fldChar w:fldCharType="end"/>
      </w:r>
      <w:bookmarkEnd w:id="6"/>
    </w:p>
    <w:p>
      <w:pPr>
        <w:pStyle w:val="126"/>
        <w:framePr w:w="9639" w:h="6974" w:hRule="exact" w:wrap="around" w:vAnchor="page" w:hAnchor="page" w:x="1419" w:y="6408"/>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pPr>
        <w:pStyle w:val="194"/>
        <w:framePr w:wrap="around" w:y="14176"/>
      </w:pPr>
      <w:r>
        <w:rPr>
          <w:rFonts w:hint="eastAsia" w:ascii="黑体"/>
          <w:lang w:val="en-US" w:eastAsia="zh-CN"/>
        </w:rPr>
        <w:t>2025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195"/>
        <w:framePr w:wrap="around" w:y="14176"/>
      </w:pPr>
      <w:r>
        <w:rPr>
          <w:rFonts w:hint="eastAsia" w:ascii="黑体"/>
          <w:lang w:val="en-US" w:eastAsia="zh-CN"/>
        </w:rPr>
        <w:t>2025</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pPr>
        <w:pStyle w:val="152"/>
        <w:framePr w:h="584" w:hRule="exact" w:hSpace="181" w:vSpace="181" w:wrap="around" w:vAnchor="page" w:hAnchor="page" w:x="2364" w:y="15140"/>
        <w:jc w:val="both"/>
        <w:rPr>
          <w:rFonts w:hint="eastAsia" w:ascii="华文中宋" w:hAnsi="华文中宋" w:eastAsia="华文中宋" w:cs="华文中宋"/>
          <w:bCs/>
          <w:spacing w:val="20"/>
          <w:szCs w:val="36"/>
        </w:rPr>
      </w:pPr>
      <w:r>
        <w:rPr>
          <w:rFonts w:hint="eastAsia" w:ascii="华文中宋" w:hAnsi="华文中宋" w:eastAsia="华文中宋" w:cs="华文中宋"/>
          <w:bCs/>
          <w:spacing w:val="20"/>
          <w:szCs w:val="36"/>
        </w:rPr>
        <w:t>广东省市场监督管理局</w:t>
      </w:r>
      <w:r>
        <w:rPr>
          <w:rFonts w:ascii="华文中宋" w:hAnsi="华文中宋" w:eastAsia="华文中宋" w:cs="华文中宋"/>
          <w:bCs/>
          <w:spacing w:val="20"/>
          <w:szCs w:val="36"/>
        </w:rPr>
        <w:t> </w:t>
      </w:r>
      <w:r>
        <w:rPr>
          <w:rFonts w:hint="eastAsia" w:ascii="华文中宋" w:hAnsi="华文中宋" w:eastAsia="华文中宋" w:cs="华文中宋"/>
          <w:bCs/>
          <w:spacing w:val="20"/>
          <w:sz w:val="24"/>
          <w:szCs w:val="24"/>
        </w:rPr>
        <w:t>发布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0"/>
        <w:spacing w:after="360"/>
      </w:pPr>
      <w:bookmarkStart w:id="12" w:name="BookMark2"/>
      <w:r>
        <w:rPr>
          <w:spacing w:val="320"/>
        </w:rPr>
        <w:t>前</w:t>
      </w:r>
      <w:r>
        <w:t>言</w:t>
      </w:r>
    </w:p>
    <w:p>
      <w:pPr>
        <w:pStyle w:val="57"/>
        <w:ind w:firstLine="420"/>
        <w:rPr>
          <w:color w:val="auto"/>
        </w:rPr>
      </w:pPr>
      <w:r>
        <w:rPr>
          <w:rFonts w:hint="eastAsia"/>
          <w:color w:val="auto"/>
        </w:rPr>
        <w:t>本文件按照GB/T 1.1—2020《标准化工作导则  第1部分：标准化文件的结构和起草规则》的规定起草。</w:t>
      </w:r>
    </w:p>
    <w:p>
      <w:pPr>
        <w:pStyle w:val="57"/>
        <w:ind w:firstLine="420"/>
        <w:rPr>
          <w:color w:val="auto"/>
        </w:rPr>
      </w:pPr>
      <w:r>
        <w:rPr>
          <w:rFonts w:hint="eastAsia" w:hAnsi="宋体"/>
          <w:color w:val="auto"/>
        </w:rPr>
        <w:t>请注意本文件的某些内容可能涉及专利。本文件的发布机构不承担识别专利的责任。</w:t>
      </w:r>
    </w:p>
    <w:p>
      <w:pPr>
        <w:widowControl/>
        <w:tabs>
          <w:tab w:val="center" w:pos="4201"/>
          <w:tab w:val="right" w:leader="dot" w:pos="9298"/>
        </w:tabs>
        <w:autoSpaceDE w:val="0"/>
        <w:autoSpaceDN w:val="0"/>
        <w:spacing w:line="240" w:lineRule="auto"/>
        <w:ind w:firstLine="420" w:firstLineChars="200"/>
        <w:rPr>
          <w:rFonts w:hint="default" w:ascii="宋体" w:hAnsi="宋体" w:eastAsia="宋体" w:cs="宋体"/>
          <w:color w:val="auto"/>
          <w:kern w:val="0"/>
          <w:szCs w:val="20"/>
          <w:lang w:val="en-US" w:eastAsia="zh-CN" w:bidi="ar"/>
        </w:rPr>
      </w:pPr>
      <w:r>
        <w:rPr>
          <w:rFonts w:hint="eastAsia" w:ascii="宋体" w:hAnsi="宋体" w:cs="宋体"/>
          <w:color w:val="auto"/>
          <w:kern w:val="0"/>
          <w:szCs w:val="20"/>
          <w:lang w:val="en-US" w:eastAsia="zh-CN" w:bidi="ar"/>
        </w:rPr>
        <w:t>本文件由广东省农业农村厅提出。</w:t>
      </w:r>
    </w:p>
    <w:p>
      <w:pPr>
        <w:widowControl/>
        <w:tabs>
          <w:tab w:val="center" w:pos="4201"/>
          <w:tab w:val="right" w:leader="dot" w:pos="9298"/>
        </w:tabs>
        <w:autoSpaceDE w:val="0"/>
        <w:autoSpaceDN w:val="0"/>
        <w:spacing w:line="240" w:lineRule="auto"/>
        <w:ind w:firstLine="420" w:firstLineChars="200"/>
        <w:rPr>
          <w:rFonts w:hint="eastAsia" w:ascii="宋体" w:hAnsi="宋体" w:cs="宋体"/>
          <w:color w:val="auto"/>
          <w:kern w:val="0"/>
          <w:szCs w:val="20"/>
        </w:rPr>
      </w:pPr>
      <w:r>
        <w:rPr>
          <w:rFonts w:hint="eastAsia" w:ascii="宋体" w:hAnsi="宋体" w:cs="宋体"/>
          <w:color w:val="auto"/>
          <w:kern w:val="0"/>
          <w:szCs w:val="20"/>
          <w:lang w:bidi="ar"/>
        </w:rPr>
        <w:t>本文件由广东省</w:t>
      </w:r>
      <w:r>
        <w:rPr>
          <w:rFonts w:hint="eastAsia" w:ascii="宋体" w:hAnsi="宋体" w:cs="宋体"/>
          <w:color w:val="auto"/>
          <w:kern w:val="0"/>
          <w:szCs w:val="20"/>
          <w:lang w:val="en-US" w:eastAsia="zh-CN" w:bidi="ar"/>
        </w:rPr>
        <w:t>水产学会</w:t>
      </w:r>
      <w:r>
        <w:rPr>
          <w:rFonts w:hint="eastAsia" w:ascii="宋体" w:hAnsi="宋体" w:cs="宋体"/>
          <w:color w:val="auto"/>
          <w:kern w:val="0"/>
          <w:szCs w:val="20"/>
          <w:lang w:bidi="ar"/>
        </w:rPr>
        <w:t>归口。</w:t>
      </w:r>
    </w:p>
    <w:bookmarkEnd w:id="12"/>
    <w:p>
      <w:pPr>
        <w:pStyle w:val="57"/>
        <w:ind w:firstLine="420"/>
        <w:rPr>
          <w:rFonts w:hint="eastAsia" w:hAnsi="宋体"/>
          <w:color w:val="auto"/>
        </w:rPr>
      </w:pPr>
      <w:bookmarkStart w:id="13" w:name="BookMark4"/>
      <w:r>
        <w:rPr>
          <w:rFonts w:hint="eastAsia"/>
          <w:color w:val="auto"/>
        </w:rPr>
        <w:t>本文件起草单位：广东省农业科学院动物科学研究所</w:t>
      </w:r>
      <w:r>
        <w:rPr>
          <w:rFonts w:hint="eastAsia"/>
          <w:color w:val="auto"/>
          <w:lang w:eastAsia="zh-CN"/>
        </w:rPr>
        <w:t>、</w:t>
      </w:r>
      <w:r>
        <w:rPr>
          <w:rFonts w:hint="eastAsia" w:hAnsi="宋体"/>
          <w:color w:val="auto"/>
        </w:rPr>
        <w:t>广东益康生态环境科技集团股份有限公司、广东益康生环保科技有限公司</w:t>
      </w:r>
    </w:p>
    <w:p>
      <w:pPr>
        <w:pStyle w:val="57"/>
        <w:ind w:firstLine="420"/>
        <w:rPr>
          <w:rFonts w:hint="default" w:eastAsia="宋体"/>
          <w:color w:val="auto"/>
          <w:lang w:val="en-US" w:eastAsia="zh-CN"/>
        </w:rPr>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rPr>
          <w:rFonts w:hint="eastAsia"/>
          <w:color w:val="auto"/>
        </w:rPr>
        <w:t>本文件主要起草人：黄文、孙育平、赵吉臣、陈晓瑛、阮灼豪、戴睿智、廖劲松、黄敏伟、郭强、鲁慧杰、尹鹏、欧鸿锐</w:t>
      </w:r>
      <w:r>
        <w:rPr>
          <w:rFonts w:hint="eastAsia"/>
          <w:color w:val="auto"/>
          <w:lang w:eastAsia="zh-CN"/>
        </w:rPr>
        <w:t>、</w:t>
      </w:r>
      <w:r>
        <w:rPr>
          <w:rFonts w:hint="eastAsia"/>
          <w:color w:val="auto"/>
          <w:lang w:val="en-US" w:eastAsia="zh-CN"/>
        </w:rPr>
        <w:t>王鹏飞、</w:t>
      </w:r>
      <w:bookmarkStart w:id="59" w:name="_GoBack"/>
      <w:bookmarkEnd w:id="59"/>
      <w:r>
        <w:rPr>
          <w:rFonts w:hint="eastAsia"/>
          <w:color w:val="auto"/>
          <w:lang w:val="en-US" w:eastAsia="zh-CN"/>
        </w:rPr>
        <w:t>胡俊茹</w:t>
      </w: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sdt>
      <w:sdtPr>
        <w:tag w:val="NEW_STAND_NAME"/>
        <w:id w:val="595910757"/>
        <w:lock w:val="sdtLocked"/>
        <w:placeholder>
          <w:docPart w:val="C2769C20560B4336A640E55694E2DAA6"/>
        </w:placeholder>
      </w:sdtPr>
      <w:sdtEndPr>
        <w:rPr>
          <w:color w:val="FF0000"/>
        </w:rPr>
      </w:sdtEndPr>
      <w:sdtContent>
        <w:p>
          <w:pPr>
            <w:pStyle w:val="178"/>
            <w:spacing w:before="240" w:beforeLines="100" w:after="528" w:afterLines="220"/>
            <w:rPr>
              <w:rFonts w:hint="eastAsia"/>
            </w:rPr>
          </w:pPr>
          <w:bookmarkStart w:id="14" w:name="NEW_STAND_NAME"/>
          <w:r>
            <w:rPr>
              <w:rFonts w:hint="eastAsia"/>
            </w:rPr>
            <w:t>立体吸附桩水产养殖尾水生态处理技术规范</w:t>
          </w:r>
        </w:p>
      </w:sdtContent>
    </w:sdt>
    <w:bookmarkEnd w:id="14"/>
    <w:p>
      <w:pPr>
        <w:pStyle w:val="105"/>
        <w:spacing w:before="240" w:after="240"/>
      </w:pPr>
      <w:bookmarkStart w:id="15" w:name="_Toc26718930"/>
      <w:bookmarkStart w:id="16" w:name="_Toc24884211"/>
      <w:bookmarkStart w:id="17" w:name="_Toc17233325"/>
      <w:bookmarkStart w:id="18" w:name="_Toc26648465"/>
      <w:bookmarkStart w:id="19" w:name="_Toc26986771"/>
      <w:bookmarkStart w:id="20" w:name="_Toc26986530"/>
      <w:bookmarkStart w:id="21" w:name="_Toc17233333"/>
      <w:bookmarkStart w:id="22" w:name="_Toc24884218"/>
      <w:r>
        <w:rPr>
          <w:rFonts w:hint="eastAsia"/>
        </w:rPr>
        <w:t>范围</w:t>
      </w:r>
      <w:bookmarkEnd w:id="15"/>
      <w:bookmarkEnd w:id="16"/>
      <w:bookmarkEnd w:id="17"/>
      <w:bookmarkEnd w:id="18"/>
      <w:bookmarkEnd w:id="19"/>
      <w:bookmarkEnd w:id="20"/>
      <w:bookmarkEnd w:id="21"/>
      <w:bookmarkEnd w:id="22"/>
    </w:p>
    <w:p>
      <w:pPr>
        <w:pStyle w:val="57"/>
        <w:ind w:firstLine="420"/>
      </w:pPr>
      <w:bookmarkStart w:id="23" w:name="_Toc26648466"/>
      <w:bookmarkStart w:id="24" w:name="_Toc17233326"/>
      <w:bookmarkStart w:id="25" w:name="_Toc17233334"/>
      <w:bookmarkStart w:id="26" w:name="_Toc24884212"/>
      <w:bookmarkStart w:id="27" w:name="_Toc24884219"/>
      <w:r>
        <w:rPr>
          <w:rFonts w:hint="eastAsia"/>
        </w:rPr>
        <w:t>本</w:t>
      </w:r>
      <w:r>
        <w:rPr>
          <w:rFonts w:hint="eastAsia"/>
          <w:lang w:val="en-US" w:eastAsia="zh-CN"/>
        </w:rPr>
        <w:t>标准</w:t>
      </w:r>
      <w:r>
        <w:rPr>
          <w:rFonts w:hint="eastAsia"/>
        </w:rPr>
        <w:t>规定了立体吸附桩水产养殖尾水处理技术的术语和定义、基本要求、工艺流程、尾水主要处理设施、生物配置、处理方法、运行管理、排放要求、循环利用及技术档案等要求。</w:t>
      </w:r>
    </w:p>
    <w:p>
      <w:pPr>
        <w:pStyle w:val="57"/>
        <w:ind w:firstLine="420"/>
      </w:pPr>
      <w:r>
        <w:rPr>
          <w:rFonts w:hint="eastAsia"/>
        </w:rPr>
        <w:t>本</w:t>
      </w:r>
      <w:r>
        <w:rPr>
          <w:rFonts w:hint="eastAsia"/>
          <w:lang w:val="en-US" w:eastAsia="zh-CN"/>
        </w:rPr>
        <w:t>标准</w:t>
      </w:r>
      <w:r>
        <w:rPr>
          <w:rFonts w:hint="eastAsia"/>
        </w:rPr>
        <w:t>适用于立体吸附桩水产养殖尾水生态处理。</w:t>
      </w:r>
    </w:p>
    <w:p>
      <w:pPr>
        <w:pStyle w:val="105"/>
        <w:spacing w:before="240" w:after="240"/>
      </w:pPr>
      <w:bookmarkStart w:id="28" w:name="_Toc26986772"/>
      <w:bookmarkStart w:id="29" w:name="_Toc26718931"/>
      <w:bookmarkStart w:id="30" w:name="_Toc26986531"/>
      <w:r>
        <w:rPr>
          <w:rFonts w:hint="eastAsia"/>
        </w:rPr>
        <w:t>规范性引用文件</w:t>
      </w:r>
      <w:bookmarkEnd w:id="23"/>
      <w:bookmarkEnd w:id="24"/>
      <w:bookmarkEnd w:id="25"/>
      <w:bookmarkEnd w:id="26"/>
      <w:bookmarkEnd w:id="27"/>
      <w:bookmarkEnd w:id="28"/>
      <w:bookmarkEnd w:id="29"/>
      <w:bookmarkEnd w:id="30"/>
    </w:p>
    <w:sdt>
      <w:sdtPr>
        <w:rPr>
          <w:rFonts w:hint="eastAsia"/>
        </w:rPr>
        <w:id w:val="715848253"/>
        <w:placeholder>
          <w:docPart w:val="692EDE83A577464B92EAFCEF836F9E1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3"/>
      </w:pPr>
      <w:r>
        <w:rPr>
          <w:rFonts w:hint="eastAsia"/>
        </w:rPr>
        <w:t>GB 11607  渔业水质标准</w:t>
      </w:r>
    </w:p>
    <w:p>
      <w:pPr>
        <w:pStyle w:val="233"/>
      </w:pPr>
      <w:r>
        <w:rPr>
          <w:rFonts w:hint="eastAsia"/>
        </w:rPr>
        <w:t>GB/T 11892  水质  高锰酸盐指数的测定</w:t>
      </w:r>
    </w:p>
    <w:p>
      <w:pPr>
        <w:pStyle w:val="233"/>
      </w:pPr>
      <w:r>
        <w:rPr>
          <w:rFonts w:hint="eastAsia"/>
        </w:rPr>
        <w:t>GB/T 11893  水质  总磷的测定  钼酸铵分光光度法</w:t>
      </w:r>
    </w:p>
    <w:p>
      <w:pPr>
        <w:pStyle w:val="233"/>
      </w:pPr>
      <w:r>
        <w:rPr>
          <w:rFonts w:hint="eastAsia"/>
        </w:rPr>
        <w:t>GB 11901  水质  悬浮物的测定  重量法</w:t>
      </w:r>
    </w:p>
    <w:p>
      <w:pPr>
        <w:pStyle w:val="233"/>
      </w:pPr>
      <w:r>
        <w:rPr>
          <w:rFonts w:hint="eastAsia"/>
        </w:rPr>
        <w:t>GB 20287  农用微生物菌剂</w:t>
      </w:r>
    </w:p>
    <w:p>
      <w:pPr>
        <w:pStyle w:val="233"/>
      </w:pPr>
      <w:r>
        <w:rPr>
          <w:rFonts w:hint="eastAsia"/>
        </w:rPr>
        <w:t>GB/T 22213  水产养殖术语</w:t>
      </w:r>
    </w:p>
    <w:p>
      <w:pPr>
        <w:pStyle w:val="233"/>
      </w:pPr>
      <w:r>
        <w:rPr>
          <w:rFonts w:hint="eastAsia"/>
        </w:rPr>
        <w:t>GB 50288  灌溉与排水工程设计标准</w:t>
      </w:r>
    </w:p>
    <w:p>
      <w:pPr>
        <w:pStyle w:val="233"/>
      </w:pPr>
      <w:r>
        <w:rPr>
          <w:rFonts w:hint="eastAsia"/>
        </w:rPr>
        <w:t>HJ 1147  水质 pH值的测定 电极法</w:t>
      </w:r>
    </w:p>
    <w:p>
      <w:pPr>
        <w:pStyle w:val="233"/>
      </w:pPr>
      <w:r>
        <w:rPr>
          <w:rFonts w:hint="eastAsia"/>
        </w:rPr>
        <w:t>HJ 636 水质 总氮的测定 碱性过硫酸钾消解紫外分光光度法</w:t>
      </w:r>
    </w:p>
    <w:p>
      <w:pPr>
        <w:pStyle w:val="233"/>
      </w:pPr>
      <w:r>
        <w:rPr>
          <w:rFonts w:hint="eastAsia"/>
        </w:rPr>
        <w:t>SC/T 6048  淡水养殖池塘设施要求</w:t>
      </w:r>
    </w:p>
    <w:p>
      <w:pPr>
        <w:pStyle w:val="233"/>
      </w:pPr>
      <w:r>
        <w:rPr>
          <w:rFonts w:hint="eastAsia"/>
        </w:rPr>
        <w:t>SC/T 6056  水产养殖设施  名词术语</w:t>
      </w:r>
    </w:p>
    <w:p>
      <w:pPr>
        <w:pStyle w:val="233"/>
      </w:pPr>
      <w:r>
        <w:rPr>
          <w:rFonts w:hint="eastAsia"/>
        </w:rPr>
        <w:t>DB 44/2462  水产养殖尾水排放标准</w:t>
      </w:r>
    </w:p>
    <w:p>
      <w:pPr>
        <w:pStyle w:val="105"/>
        <w:spacing w:before="240" w:after="240"/>
      </w:pPr>
      <w:r>
        <w:rPr>
          <w:rFonts w:hint="eastAsia"/>
          <w:szCs w:val="21"/>
        </w:rPr>
        <w:t>术语和定义</w:t>
      </w:r>
    </w:p>
    <w:sdt>
      <w:sdtPr>
        <w:id w:val="-1909835108"/>
        <w:placeholder>
          <w:docPart w:val="{fa439b7a-6023-4233-be8f-fa745fa35b0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sdt>
          <w:sdtPr>
            <w:id w:val="-280112284"/>
            <w:placeholder>
              <w:docPart w:val="DAC58C12D7344004B93E81DEA404ACF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31" w:name="_Toc26986532"/>
              <w:bookmarkEnd w:id="31"/>
              <w:r>
                <w:rPr>
                  <w:rFonts w:hint="eastAsia"/>
                </w:rPr>
                <w:t>GB/T 22213、SC/T 6056</w:t>
              </w:r>
              <w:r>
                <w:t>界定的以及下列术语和定义适用于本文件。</w:t>
              </w:r>
            </w:p>
          </w:sdtContent>
        </w:sdt>
      </w:sdtContent>
    </w:sdt>
    <w:p>
      <w:pPr>
        <w:pStyle w:val="57"/>
        <w:ind w:firstLine="0" w:firstLineChars="0"/>
        <w:rPr>
          <w:rFonts w:hint="eastAsia" w:ascii="黑体" w:hAnsi="黑体" w:eastAsia="黑体" w:cs="黑体"/>
        </w:rPr>
      </w:pPr>
      <w:bookmarkStart w:id="32" w:name="OLE_LINK4"/>
      <w:r>
        <w:rPr>
          <w:rFonts w:hint="eastAsia" w:ascii="黑体" w:hAnsi="黑体" w:eastAsia="黑体" w:cs="黑体"/>
        </w:rPr>
        <w:t>3.1</w:t>
      </w:r>
    </w:p>
    <w:p>
      <w:pPr>
        <w:pStyle w:val="57"/>
        <w:ind w:firstLine="420"/>
        <w:rPr>
          <w:rFonts w:hint="eastAsia" w:ascii="黑体" w:hAnsi="黑体" w:eastAsia="黑体" w:cs="黑体"/>
          <w:color w:val="FF0000"/>
        </w:rPr>
      </w:pPr>
      <w:r>
        <w:rPr>
          <w:rFonts w:hint="eastAsia" w:ascii="黑体" w:hAnsi="黑体" w:eastAsia="黑体" w:cs="黑体"/>
        </w:rPr>
        <w:t>立体吸附桩  stereoscopic eco-adsorption equipment</w:t>
      </w:r>
    </w:p>
    <w:p>
      <w:pPr>
        <w:pStyle w:val="57"/>
        <w:spacing w:before="120" w:beforeLines="50" w:after="120" w:afterLines="50"/>
        <w:ind w:firstLine="420"/>
        <w:rPr>
          <w:rFonts w:hint="eastAsia" w:hAnsi="宋体" w:cs="宋体"/>
          <w:color w:val="FF0000"/>
        </w:rPr>
      </w:pPr>
      <w:r>
        <w:rPr>
          <w:rFonts w:hint="eastAsia" w:hAnsi="宋体" w:cs="宋体"/>
        </w:rPr>
        <w:t>由三层“回字形”吸附过滤功能区组成，由外向内依次为粗滤区、沉淀物阻挡区、细滤区。功能区的填充物由火山石、珊瑚石、有机碳源填充物、过滤毛刷、蜂孔滤球组成，附属物包含玻璃纤维格栅板、水泵、喷头、水生植物、悬浮筒、固定配件。由以上部分装配组成立体状桩体。</w:t>
      </w:r>
    </w:p>
    <w:p>
      <w:pPr>
        <w:pStyle w:val="57"/>
        <w:spacing w:before="120" w:beforeLines="50" w:after="120" w:afterLines="50"/>
        <w:ind w:firstLine="0" w:firstLineChars="0"/>
        <w:rPr>
          <w:rFonts w:hint="eastAsia" w:ascii="黑体" w:hAnsi="黑体" w:eastAsia="黑体" w:cs="黑体"/>
        </w:rPr>
      </w:pPr>
      <w:bookmarkStart w:id="33" w:name="OLE_LINK2"/>
      <w:r>
        <w:rPr>
          <w:rFonts w:hint="eastAsia" w:ascii="黑体" w:hAnsi="黑体" w:eastAsia="黑体" w:cs="黑体"/>
        </w:rPr>
        <w:t>3.2</w:t>
      </w:r>
    </w:p>
    <w:p>
      <w:pPr>
        <w:pStyle w:val="57"/>
        <w:spacing w:before="120" w:beforeLines="50" w:after="120" w:afterLines="50"/>
        <w:ind w:firstLine="420"/>
        <w:rPr>
          <w:rFonts w:hint="eastAsia" w:ascii="黑体" w:hAnsi="黑体" w:eastAsia="黑体" w:cs="黑体"/>
          <w:color w:val="FF0000"/>
        </w:rPr>
      </w:pPr>
      <w:r>
        <w:rPr>
          <w:rFonts w:hint="eastAsia" w:ascii="黑体" w:hAnsi="黑体" w:eastAsia="黑体" w:cs="黑体"/>
        </w:rPr>
        <w:t>养殖尾水 aquaculture wastewater</w:t>
      </w:r>
    </w:p>
    <w:p>
      <w:pPr>
        <w:pStyle w:val="57"/>
        <w:spacing w:before="120" w:beforeLines="50" w:after="120" w:afterLines="50"/>
        <w:ind w:firstLine="420"/>
        <w:rPr>
          <w:rFonts w:hint="eastAsia" w:hAnsi="宋体" w:cs="宋体"/>
        </w:rPr>
      </w:pPr>
      <w:r>
        <w:rPr>
          <w:rFonts w:hint="eastAsia" w:hAnsi="宋体" w:cs="宋体"/>
        </w:rPr>
        <w:t>水产养殖过程中，或养殖结束后，向养殖区域外排出的含氮、磷、悬浮物等浓度较高的未经处理的养殖水。</w:t>
      </w:r>
    </w:p>
    <w:bookmarkEnd w:id="32"/>
    <w:bookmarkEnd w:id="33"/>
    <w:p>
      <w:pPr>
        <w:pStyle w:val="57"/>
        <w:spacing w:before="120" w:beforeLines="50" w:after="120" w:afterLines="50"/>
        <w:ind w:firstLine="0" w:firstLineChars="0"/>
        <w:rPr>
          <w:rFonts w:hint="eastAsia" w:ascii="黑体" w:hAnsi="黑体" w:eastAsia="黑体" w:cs="黑体"/>
        </w:rPr>
      </w:pPr>
      <w:bookmarkStart w:id="34" w:name="OLE_LINK3"/>
      <w:r>
        <w:rPr>
          <w:rFonts w:hint="eastAsia" w:ascii="黑体" w:hAnsi="黑体" w:eastAsia="黑体" w:cs="黑体"/>
        </w:rPr>
        <w:t>3.3</w:t>
      </w:r>
    </w:p>
    <w:p>
      <w:pPr>
        <w:pStyle w:val="57"/>
        <w:spacing w:before="120" w:beforeLines="50" w:after="120" w:afterLines="50"/>
        <w:ind w:firstLine="420"/>
        <w:rPr>
          <w:rFonts w:hint="eastAsia" w:ascii="黑体" w:hAnsi="黑体" w:eastAsia="黑体" w:cs="黑体"/>
          <w:color w:val="FF0000"/>
        </w:rPr>
      </w:pPr>
      <w:r>
        <w:rPr>
          <w:rFonts w:hint="eastAsia" w:ascii="黑体" w:hAnsi="黑体" w:eastAsia="黑体" w:cs="黑体"/>
        </w:rPr>
        <w:t>生态沟渠 ecological ditch</w:t>
      </w:r>
    </w:p>
    <w:p>
      <w:pPr>
        <w:pStyle w:val="57"/>
        <w:spacing w:before="120" w:beforeLines="50" w:after="120" w:afterLines="50"/>
        <w:ind w:firstLine="420"/>
        <w:rPr>
          <w:rFonts w:hint="eastAsia" w:hAnsi="宋体" w:cs="宋体"/>
        </w:rPr>
      </w:pPr>
      <w:r>
        <w:rPr>
          <w:rFonts w:hint="eastAsia" w:hAnsi="宋体" w:cs="宋体"/>
        </w:rPr>
        <w:t>按养殖区内面积比例构建的以生物系统为核心，收集、净化养殖尾水并连接养殖水体的沟渠。</w:t>
      </w:r>
    </w:p>
    <w:p>
      <w:pPr>
        <w:pStyle w:val="57"/>
        <w:spacing w:before="120" w:beforeLines="50" w:after="120" w:afterLines="50"/>
        <w:ind w:firstLine="0" w:firstLineChars="0"/>
        <w:rPr>
          <w:rFonts w:hint="eastAsia" w:ascii="黑体" w:hAnsi="黑体" w:eastAsia="黑体" w:cs="黑体"/>
        </w:rPr>
      </w:pPr>
      <w:r>
        <w:rPr>
          <w:rFonts w:hint="eastAsia" w:ascii="黑体" w:hAnsi="黑体" w:eastAsia="黑体" w:cs="黑体"/>
        </w:rPr>
        <w:t>3.4</w:t>
      </w:r>
    </w:p>
    <w:p>
      <w:pPr>
        <w:pStyle w:val="57"/>
        <w:spacing w:before="120" w:beforeLines="50" w:after="120" w:afterLines="50"/>
        <w:ind w:firstLine="420"/>
        <w:rPr>
          <w:rFonts w:hint="eastAsia" w:ascii="黑体" w:hAnsi="黑体" w:eastAsia="黑体" w:cs="黑体"/>
          <w:color w:val="FF0000"/>
        </w:rPr>
      </w:pPr>
      <w:r>
        <w:rPr>
          <w:rFonts w:hint="eastAsia" w:ascii="黑体" w:hAnsi="黑体" w:eastAsia="黑体" w:cs="黑体"/>
        </w:rPr>
        <w:t>沉淀区 precipitate zone</w:t>
      </w:r>
    </w:p>
    <w:p>
      <w:pPr>
        <w:pStyle w:val="57"/>
        <w:spacing w:before="120" w:beforeLines="50" w:after="120" w:afterLines="50"/>
        <w:ind w:firstLine="420"/>
        <w:rPr>
          <w:rFonts w:hint="eastAsia" w:hAnsi="宋体" w:cs="宋体"/>
        </w:rPr>
      </w:pPr>
      <w:r>
        <w:rPr>
          <w:rFonts w:hint="eastAsia" w:hAnsi="宋体" w:cs="宋体"/>
        </w:rPr>
        <w:t>对水产养殖尾水存储并促使悬浮物等进行沉降处理的区域。</w:t>
      </w:r>
    </w:p>
    <w:bookmarkEnd w:id="34"/>
    <w:p>
      <w:pPr>
        <w:pStyle w:val="57"/>
        <w:spacing w:before="120" w:beforeLines="50" w:after="120" w:afterLines="50"/>
        <w:ind w:firstLine="0" w:firstLineChars="0"/>
        <w:rPr>
          <w:rFonts w:hint="eastAsia" w:ascii="黑体" w:hAnsi="黑体" w:eastAsia="黑体" w:cs="黑体"/>
        </w:rPr>
      </w:pPr>
      <w:r>
        <w:rPr>
          <w:rFonts w:hint="eastAsia" w:ascii="黑体" w:hAnsi="黑体" w:eastAsia="黑体" w:cs="黑体"/>
        </w:rPr>
        <w:t>3.5</w:t>
      </w:r>
    </w:p>
    <w:p>
      <w:pPr>
        <w:pStyle w:val="57"/>
        <w:spacing w:before="120" w:beforeLines="50" w:after="120" w:afterLines="50"/>
        <w:ind w:firstLine="420"/>
        <w:rPr>
          <w:rFonts w:hint="eastAsia" w:ascii="黑体" w:hAnsi="黑体" w:eastAsia="黑体" w:cs="黑体"/>
          <w:color w:val="FF0000"/>
        </w:rPr>
      </w:pPr>
      <w:r>
        <w:rPr>
          <w:rFonts w:hint="eastAsia" w:ascii="黑体" w:hAnsi="黑体" w:eastAsia="黑体" w:cs="黑体"/>
        </w:rPr>
        <w:t>过滤坝  filter dam</w:t>
      </w:r>
    </w:p>
    <w:p>
      <w:pPr>
        <w:pStyle w:val="57"/>
        <w:spacing w:before="120" w:beforeLines="50" w:after="120" w:afterLines="50"/>
        <w:ind w:firstLine="420"/>
        <w:rPr>
          <w:rFonts w:hint="eastAsia" w:hAnsi="宋体" w:cs="宋体"/>
          <w:color w:val="FF0000"/>
        </w:rPr>
      </w:pPr>
      <w:r>
        <w:rPr>
          <w:rFonts w:hint="eastAsia" w:hAnsi="宋体" w:cs="宋体"/>
        </w:rPr>
        <w:t>由多孔砖砌成，内部填充多孔的物理或生物滤料，具过滤拦截、生物降解、转化及吸附作用的构筑物。</w:t>
      </w:r>
    </w:p>
    <w:p>
      <w:pPr>
        <w:pStyle w:val="57"/>
        <w:spacing w:before="120" w:beforeLines="50" w:after="120" w:afterLines="50"/>
        <w:ind w:firstLine="0" w:firstLineChars="0"/>
        <w:rPr>
          <w:rFonts w:hint="eastAsia" w:ascii="黑体" w:hAnsi="黑体" w:eastAsia="黑体" w:cs="黑体"/>
        </w:rPr>
      </w:pPr>
      <w:r>
        <w:rPr>
          <w:rFonts w:hint="eastAsia" w:ascii="黑体" w:hAnsi="黑体" w:eastAsia="黑体" w:cs="黑体"/>
        </w:rPr>
        <w:t>3.6</w:t>
      </w:r>
    </w:p>
    <w:p>
      <w:pPr>
        <w:pStyle w:val="57"/>
        <w:spacing w:before="120" w:beforeLines="50" w:after="120" w:afterLines="50"/>
        <w:ind w:firstLine="420"/>
        <w:rPr>
          <w:rFonts w:hint="eastAsia" w:ascii="黑体" w:hAnsi="黑体" w:eastAsia="黑体" w:cs="黑体"/>
        </w:rPr>
      </w:pPr>
      <w:r>
        <w:rPr>
          <w:rFonts w:hint="eastAsia" w:ascii="黑体" w:hAnsi="黑体" w:eastAsia="黑体" w:cs="黑体"/>
        </w:rPr>
        <w:t>净化区 decontamination zone</w:t>
      </w:r>
    </w:p>
    <w:p>
      <w:pPr>
        <w:pStyle w:val="57"/>
        <w:spacing w:before="120" w:beforeLines="50" w:after="120" w:afterLines="50"/>
        <w:ind w:firstLine="420"/>
        <w:rPr>
          <w:rFonts w:hint="eastAsia" w:hAnsi="宋体" w:cs="宋体"/>
        </w:rPr>
      </w:pPr>
      <w:r>
        <w:rPr>
          <w:rFonts w:hint="eastAsia"/>
        </w:rPr>
        <w:t>采用物理技术，以及微生物、水生植物、鱼类及贝类等不同营养层级的</w:t>
      </w:r>
      <w:bookmarkStart w:id="35" w:name="OLE_LINK18"/>
      <w:r>
        <w:rPr>
          <w:rFonts w:hint="eastAsia"/>
        </w:rPr>
        <w:t>水生生物为生态系统主体</w:t>
      </w:r>
      <w:bookmarkEnd w:id="35"/>
      <w:r>
        <w:rPr>
          <w:rFonts w:hint="eastAsia"/>
        </w:rPr>
        <w:t>，经截留、吸附、吸收、降解等手段，消纳水产养殖尾水营养物质作用的区域</w:t>
      </w:r>
      <w:r>
        <w:rPr>
          <w:rFonts w:hint="eastAsia" w:hAnsi="宋体" w:cs="宋体"/>
        </w:rPr>
        <w:t>。</w:t>
      </w:r>
    </w:p>
    <w:p>
      <w:pPr>
        <w:pStyle w:val="105"/>
        <w:spacing w:before="240" w:after="240"/>
        <w:rPr>
          <w:rFonts w:hint="eastAsia" w:hAnsi="宋体" w:cs="宋体"/>
          <w:sz w:val="18"/>
          <w:szCs w:val="18"/>
        </w:rPr>
      </w:pPr>
      <w:bookmarkStart w:id="36" w:name="OLE_LINK20"/>
      <w:r>
        <w:rPr>
          <w:rFonts w:hint="eastAsia"/>
        </w:rPr>
        <w:t>基本要求</w:t>
      </w:r>
    </w:p>
    <w:p>
      <w:pPr>
        <w:pStyle w:val="106"/>
        <w:spacing w:before="120" w:after="120"/>
        <w:ind w:left="0"/>
      </w:pPr>
      <w:bookmarkStart w:id="37" w:name="OLE_LINK25"/>
      <w:r>
        <w:rPr>
          <w:rFonts w:hint="eastAsia"/>
        </w:rPr>
        <w:t xml:space="preserve">尾水处理设施 </w:t>
      </w:r>
    </w:p>
    <w:bookmarkEnd w:id="37"/>
    <w:p>
      <w:pPr>
        <w:pStyle w:val="66"/>
        <w:spacing w:before="120" w:after="120"/>
        <w:rPr>
          <w:rFonts w:hint="eastAsia" w:ascii="宋体" w:hAnsi="宋体" w:eastAsia="宋体" w:cs="宋体"/>
        </w:rPr>
      </w:pPr>
      <w:r>
        <w:rPr>
          <w:rFonts w:hint="eastAsia" w:ascii="宋体" w:hAnsi="宋体" w:eastAsia="宋体" w:cs="宋体"/>
        </w:rPr>
        <w:t>应按不低于养殖面积的3%～5%设置生态沟渠或尾水处理区，或生态沟渠+生态净化池组成的处理设施，宜采用物理、生物等技术手段，实现养殖尾水的生态化处理，达标排放或循环利用。</w:t>
      </w:r>
    </w:p>
    <w:p>
      <w:pPr>
        <w:pStyle w:val="66"/>
        <w:spacing w:before="120" w:after="120"/>
        <w:rPr>
          <w:rFonts w:hint="eastAsia" w:ascii="宋体" w:hAnsi="宋体" w:eastAsia="宋体" w:cs="宋体"/>
        </w:rPr>
      </w:pPr>
      <w:r>
        <w:rPr>
          <w:rFonts w:hint="eastAsia" w:ascii="宋体" w:hAnsi="宋体" w:eastAsia="宋体" w:cs="宋体"/>
        </w:rPr>
        <w:t>养殖尾水处理设施应包括生态沟渠、沉淀区、曝气区、过滤坝和生物净化区。其中沉淀区应占总养殖尾水处理设施总面积的25%～40%、曝气区应占总养殖尾水处理设施面积的10%～25%、生物处理区面积应占总养殖尾水处理设施面积的40%</w:t>
      </w:r>
      <w:bookmarkStart w:id="38" w:name="OLE_LINK26"/>
      <w:r>
        <w:rPr>
          <w:rFonts w:hint="eastAsia" w:ascii="宋体" w:hAnsi="宋体" w:eastAsia="宋体" w:cs="宋体"/>
        </w:rPr>
        <w:t>～</w:t>
      </w:r>
      <w:bookmarkEnd w:id="38"/>
      <w:r>
        <w:rPr>
          <w:rFonts w:hint="eastAsia" w:ascii="宋体" w:hAnsi="宋体" w:eastAsia="宋体" w:cs="宋体"/>
        </w:rPr>
        <w:t>50%。</w:t>
      </w:r>
    </w:p>
    <w:p>
      <w:pPr>
        <w:pStyle w:val="106"/>
        <w:spacing w:before="120" w:after="120"/>
        <w:ind w:left="0"/>
      </w:pPr>
      <w:r>
        <w:rPr>
          <w:rFonts w:hint="eastAsia"/>
        </w:rPr>
        <w:t>尾水处理设施设计与布局</w:t>
      </w:r>
    </w:p>
    <w:p>
      <w:pPr>
        <w:pStyle w:val="57"/>
        <w:ind w:firstLine="420"/>
      </w:pPr>
      <w:r>
        <w:rPr>
          <w:rFonts w:hint="eastAsia"/>
        </w:rPr>
        <w:t>应符合GB 50288、</w:t>
      </w:r>
      <w:r>
        <w:t>SC/T 6048</w:t>
      </w:r>
      <w:r>
        <w:rPr>
          <w:rFonts w:hint="eastAsia"/>
        </w:rPr>
        <w:t>的规定。在养殖区域内，地势应由高到低、水位逐级降低的地区依次建造生态沟渠、沉淀区、曝气区、生物处理区、过滤坝、暗化区和综合种养净化区。可根据养殖区域内沟渠、低洼地、池塘、进排水沟渠等进行调整，宜选择以养殖塘+生态沟渠为主的原位生态修复+异位生态修复的养殖尾水处理技术模式，或以生态沟渠+生态净化池塘为主的异位生态修复的养殖尾水处理技术模式。</w:t>
      </w:r>
    </w:p>
    <w:p>
      <w:pPr>
        <w:pStyle w:val="106"/>
        <w:spacing w:before="120" w:after="120"/>
        <w:ind w:left="0"/>
      </w:pPr>
      <w:r>
        <w:rPr>
          <w:rFonts w:hint="eastAsia"/>
        </w:rPr>
        <w:t>尾水处理设施布局</w:t>
      </w:r>
    </w:p>
    <w:p>
      <w:pPr>
        <w:pStyle w:val="57"/>
        <w:ind w:firstLine="420"/>
      </w:pPr>
      <w:r>
        <w:rPr>
          <w:rFonts w:hint="eastAsia"/>
        </w:rPr>
        <w:t>在养殖区域内，地势应由高到低、水位逐级降低的地区依次建造生态沟渠、沉淀区、曝气区、生物处理区、过滤坝、暗化区和综合种养净化区。可根据养殖区域内沟渠、低洼地、池塘、进排水沟渠等进行调整，宜选择以养殖塘+生态沟渠为主的原位生态修复+异位生态修复的养殖尾水处理技术模式，或以生态沟渠+生态净化池塘为主的异位生态修复的养殖尾水处理技术模式。</w:t>
      </w:r>
    </w:p>
    <w:p>
      <w:pPr>
        <w:pStyle w:val="105"/>
        <w:spacing w:before="240" w:after="240"/>
      </w:pPr>
      <w:r>
        <w:rPr>
          <w:rFonts w:hint="eastAsia"/>
        </w:rPr>
        <w:t>工艺流程</w:t>
      </w:r>
    </w:p>
    <w:p>
      <w:pPr>
        <w:pStyle w:val="57"/>
        <w:ind w:firstLine="420"/>
      </w:pPr>
      <w:bookmarkStart w:id="39" w:name="OLE_LINK19"/>
      <w:r>
        <w:rPr>
          <w:rFonts w:hint="eastAsia"/>
        </w:rPr>
        <w:t>立体吸附桩水产养殖尾水生态处理工艺流程</w:t>
      </w:r>
      <w:bookmarkEnd w:id="39"/>
      <w:r>
        <w:rPr>
          <w:rFonts w:hint="eastAsia"/>
        </w:rPr>
        <w:t>见图1。</w:t>
      </w:r>
    </w:p>
    <w:p>
      <w:pPr>
        <w:pStyle w:val="57"/>
        <w:ind w:firstLine="420"/>
        <w:jc w:val="center"/>
      </w:pPr>
    </w:p>
    <w:p>
      <w:pPr>
        <w:pStyle w:val="57"/>
        <w:ind w:firstLine="0" w:firstLineChars="0"/>
      </w:pPr>
      <w:r>
        <w:drawing>
          <wp:inline distT="0" distB="0" distL="114300" distR="114300">
            <wp:extent cx="5934075" cy="3465830"/>
            <wp:effectExtent l="0" t="0" r="9525" b="127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7"/>
                    <a:stretch>
                      <a:fillRect/>
                    </a:stretch>
                  </pic:blipFill>
                  <pic:spPr>
                    <a:xfrm>
                      <a:off x="0" y="0"/>
                      <a:ext cx="5934075" cy="3465830"/>
                    </a:xfrm>
                    <a:prstGeom prst="rect">
                      <a:avLst/>
                    </a:prstGeom>
                    <a:noFill/>
                    <a:ln>
                      <a:noFill/>
                    </a:ln>
                  </pic:spPr>
                </pic:pic>
              </a:graphicData>
            </a:graphic>
          </wp:inline>
        </w:drawing>
      </w:r>
    </w:p>
    <w:p>
      <w:pPr>
        <w:jc w:val="center"/>
        <w:rPr>
          <w:rFonts w:ascii="黑体" w:eastAsia="黑体"/>
        </w:rPr>
      </w:pPr>
      <w:r>
        <w:rPr>
          <w:rFonts w:hint="eastAsia" w:ascii="黑体" w:eastAsia="黑体"/>
        </w:rPr>
        <w:t>图1  立体吸附桩水产养殖尾水生态处理工艺流程图</w:t>
      </w:r>
    </w:p>
    <w:p>
      <w:pPr>
        <w:pStyle w:val="105"/>
        <w:spacing w:before="240" w:after="240"/>
      </w:pPr>
      <w:r>
        <w:rPr>
          <w:rFonts w:hint="eastAsia"/>
        </w:rPr>
        <w:t>主要处理设施</w:t>
      </w:r>
    </w:p>
    <w:p>
      <w:pPr>
        <w:pStyle w:val="106"/>
        <w:spacing w:before="120" w:after="120"/>
        <w:ind w:left="0"/>
      </w:pPr>
      <w:bookmarkStart w:id="40" w:name="OLE_LINK7"/>
      <w:bookmarkStart w:id="41" w:name="OLE_LINK5"/>
      <w:r>
        <w:rPr>
          <w:rFonts w:hint="eastAsia"/>
        </w:rPr>
        <w:t>立体吸附桩</w:t>
      </w:r>
    </w:p>
    <w:p>
      <w:pPr>
        <w:pStyle w:val="57"/>
        <w:ind w:firstLine="420"/>
      </w:pPr>
      <w:r>
        <w:rPr>
          <w:rFonts w:hint="eastAsia"/>
        </w:rPr>
        <w:t>由“回</w:t>
      </w:r>
      <w:bookmarkEnd w:id="40"/>
      <w:r>
        <w:rPr>
          <w:rFonts w:hint="eastAsia"/>
        </w:rPr>
        <w:t>字形”框架、滤材、悬浮筒、固定桩等主体设备和水泵、喷头、生物等辅助设备、材料装配组成。1套立体生态吸附桩包含1套“回字形”框架、1套立体吸附桩平台、1套曝气系统和1套基于“回字形”结构创设的多重生境系统。</w:t>
      </w:r>
    </w:p>
    <w:bookmarkEnd w:id="36"/>
    <w:bookmarkEnd w:id="41"/>
    <w:p>
      <w:pPr>
        <w:pStyle w:val="106"/>
        <w:spacing w:before="120" w:after="120"/>
        <w:ind w:left="0"/>
      </w:pPr>
      <w:bookmarkStart w:id="42" w:name="OLE_LINK6"/>
      <w:r>
        <w:rPr>
          <w:rFonts w:hint="eastAsia"/>
        </w:rPr>
        <w:t>生态沟渠</w:t>
      </w:r>
    </w:p>
    <w:p>
      <w:pPr>
        <w:pStyle w:val="57"/>
        <w:ind w:firstLine="420"/>
        <w:rPr>
          <w:rFonts w:hint="eastAsia" w:hAnsi="宋体" w:cs="宋体"/>
        </w:rPr>
      </w:pPr>
      <w:r>
        <w:rPr>
          <w:rFonts w:hint="eastAsia"/>
        </w:rPr>
        <w:t>按养殖区内面积比例构建的以生物系统为核心，收集、净化养殖尾水并连接养殖水体的沟渠。沟渠护堤坡岸不硬化，种植绿化植物。宜在沟渠内设置生物浮床，种植水生植物。生态沟渠顶宽</w:t>
      </w:r>
      <w:r>
        <w:rPr>
          <w:rFonts w:hint="eastAsia" w:hAnsi="宋体" w:cs="宋体"/>
        </w:rPr>
        <w:t>≥</w:t>
      </w:r>
      <w:r>
        <w:rPr>
          <w:rFonts w:hint="eastAsia"/>
        </w:rPr>
        <w:t>4 m，底宽</w:t>
      </w:r>
      <w:r>
        <w:rPr>
          <w:rFonts w:hint="eastAsia" w:hAnsi="宋体" w:cs="宋体"/>
        </w:rPr>
        <w:t>≥</w:t>
      </w:r>
      <w:r>
        <w:rPr>
          <w:rFonts w:hint="eastAsia"/>
        </w:rPr>
        <w:t>2 m，深</w:t>
      </w:r>
      <w:r>
        <w:rPr>
          <w:rFonts w:hint="eastAsia" w:hAnsi="宋体" w:cs="宋体"/>
        </w:rPr>
        <w:t>≥2.0 m。</w:t>
      </w:r>
    </w:p>
    <w:bookmarkEnd w:id="42"/>
    <w:p>
      <w:pPr>
        <w:pStyle w:val="106"/>
        <w:spacing w:before="120" w:after="120"/>
        <w:ind w:left="0"/>
      </w:pPr>
      <w:r>
        <w:rPr>
          <w:rFonts w:hint="eastAsia"/>
        </w:rPr>
        <w:t>沉淀区</w:t>
      </w:r>
    </w:p>
    <w:p>
      <w:pPr>
        <w:pStyle w:val="57"/>
        <w:ind w:firstLine="420"/>
        <w:rPr>
          <w:rFonts w:hint="eastAsia" w:hAnsi="宋体" w:cs="宋体"/>
        </w:rPr>
      </w:pPr>
      <w:r>
        <w:rPr>
          <w:rFonts w:hint="eastAsia" w:hAnsi="宋体" w:cs="宋体"/>
        </w:rPr>
        <w:t>沉淀区面积占养殖尾水处理设施面积的</w:t>
      </w:r>
      <w:r>
        <w:rPr>
          <w:rFonts w:hint="eastAsia"/>
        </w:rPr>
        <w:t>3</w:t>
      </w:r>
      <w:r>
        <w:rPr>
          <w:rFonts w:hint="eastAsia" w:hAnsi="宋体" w:cs="宋体"/>
        </w:rPr>
        <w:t>0%</w:t>
      </w:r>
      <w:bookmarkStart w:id="43" w:name="OLE_LINK23"/>
      <w:r>
        <w:rPr>
          <w:rFonts w:hint="eastAsia" w:hAnsi="宋体" w:cs="宋体"/>
        </w:rPr>
        <w:t>～40%</w:t>
      </w:r>
      <w:bookmarkEnd w:id="43"/>
      <w:r>
        <w:rPr>
          <w:rFonts w:hint="eastAsia" w:hAnsi="宋体" w:cs="宋体"/>
        </w:rPr>
        <w:t>，水深</w:t>
      </w:r>
      <w:bookmarkStart w:id="44" w:name="OLE_LINK9"/>
      <w:r>
        <w:rPr>
          <w:rFonts w:hint="eastAsia" w:hAnsi="宋体" w:cs="宋体"/>
        </w:rPr>
        <w:t>2.0 m</w:t>
      </w:r>
      <w:bookmarkStart w:id="45" w:name="OLE_LINK8"/>
      <w:r>
        <w:rPr>
          <w:rFonts w:hint="eastAsia" w:hAnsi="宋体" w:cs="宋体"/>
        </w:rPr>
        <w:t>～</w:t>
      </w:r>
      <w:r>
        <w:rPr>
          <w:rFonts w:hint="eastAsia" w:ascii="Times New Roman"/>
        </w:rPr>
        <w:t>3.0</w:t>
      </w:r>
      <w:r>
        <w:rPr>
          <w:rFonts w:hint="eastAsia" w:hAnsi="宋体" w:cs="宋体"/>
        </w:rPr>
        <w:t xml:space="preserve"> m</w:t>
      </w:r>
      <w:bookmarkEnd w:id="44"/>
      <w:bookmarkEnd w:id="45"/>
      <w:r>
        <w:rPr>
          <w:rFonts w:hint="eastAsia" w:hAnsi="宋体" w:cs="宋体"/>
        </w:rPr>
        <w:t>。在沉淀区内设置“之”字型挡水设施。</w:t>
      </w:r>
      <w:r>
        <w:rPr>
          <w:rFonts w:hint="eastAsia"/>
        </w:rPr>
        <w:t>底部可配备底排污设施或吸污设备。</w:t>
      </w:r>
      <w:r>
        <w:rPr>
          <w:rFonts w:hint="eastAsia" w:ascii="Times New Roman"/>
        </w:rPr>
        <w:t>浮床面积占</w:t>
      </w:r>
      <w:r>
        <w:rPr>
          <w:rFonts w:hint="eastAsia"/>
        </w:rPr>
        <w:t>30</w:t>
      </w:r>
      <w:r>
        <w:rPr>
          <w:rFonts w:hint="eastAsia" w:hAnsi="宋体" w:cs="宋体"/>
        </w:rPr>
        <w:t>%</w:t>
      </w:r>
      <w:r>
        <w:rPr>
          <w:rFonts w:ascii="Times New Roman"/>
        </w:rPr>
        <w:t>~</w:t>
      </w:r>
      <w:r>
        <w:rPr>
          <w:rFonts w:hint="eastAsia" w:hAnsi="宋体" w:cs="宋体"/>
        </w:rPr>
        <w:t xml:space="preserve"> 40%，</w:t>
      </w:r>
      <w:r>
        <w:rPr>
          <w:rFonts w:hint="eastAsia" w:ascii="Times New Roman"/>
        </w:rPr>
        <w:t>浮床上种植水生植物。</w:t>
      </w:r>
      <w:r>
        <w:rPr>
          <w:rFonts w:hint="eastAsia" w:hAnsi="宋体" w:cs="宋体"/>
        </w:rPr>
        <w:t>沉淀区四周不宜硬化。</w:t>
      </w:r>
    </w:p>
    <w:p>
      <w:pPr>
        <w:pStyle w:val="106"/>
        <w:spacing w:before="120" w:after="120"/>
        <w:ind w:left="0"/>
      </w:pPr>
      <w:r>
        <w:rPr>
          <w:rFonts w:hint="eastAsia"/>
        </w:rPr>
        <w:t>过滤坝</w:t>
      </w:r>
    </w:p>
    <w:p>
      <w:pPr>
        <w:pStyle w:val="66"/>
        <w:spacing w:before="120" w:after="120"/>
      </w:pPr>
      <w:bookmarkStart w:id="46" w:name="OLE_LINK21"/>
      <w:r>
        <w:rPr>
          <w:rFonts w:hint="eastAsia"/>
        </w:rPr>
        <w:t>坝体</w:t>
      </w:r>
    </w:p>
    <w:bookmarkEnd w:id="46"/>
    <w:p>
      <w:pPr>
        <w:pStyle w:val="57"/>
        <w:ind w:firstLine="420"/>
        <w:rPr>
          <w:rFonts w:hint="eastAsia" w:hAnsi="宋体" w:cs="宋体"/>
        </w:rPr>
      </w:pPr>
      <w:r>
        <w:rPr>
          <w:rFonts w:hint="eastAsia"/>
        </w:rPr>
        <w:t>用空心砖或钢架结构搭建过滤坝体外部墙体。坝体与水流方向垂直、空心砖砖孔方向与水流保持一致。坝宽</w:t>
      </w:r>
      <w:r>
        <w:rPr>
          <w:rFonts w:hint="eastAsia" w:hAnsi="宋体" w:cs="宋体"/>
        </w:rPr>
        <w:t>≥</w:t>
      </w:r>
      <w:r>
        <w:rPr>
          <w:rFonts w:hint="eastAsia"/>
        </w:rPr>
        <w:t>2 m,坝长</w:t>
      </w:r>
      <w:r>
        <w:rPr>
          <w:rFonts w:hint="eastAsia" w:hAnsi="宋体" w:cs="宋体"/>
        </w:rPr>
        <w:t>≥8 m，坝高</w:t>
      </w:r>
      <w:r>
        <w:rPr>
          <w:rFonts w:hint="eastAsia"/>
        </w:rPr>
        <w:t>应高出最高水位0.5 m</w:t>
      </w:r>
      <w:r>
        <w:rPr>
          <w:rFonts w:hint="eastAsia" w:hAnsi="宋体" w:cs="宋体"/>
        </w:rPr>
        <w:t>。</w:t>
      </w:r>
    </w:p>
    <w:p>
      <w:pPr>
        <w:pStyle w:val="66"/>
        <w:spacing w:before="120" w:after="120"/>
      </w:pPr>
      <w:r>
        <w:rPr>
          <w:rFonts w:hint="eastAsia"/>
        </w:rPr>
        <w:t>滤材</w:t>
      </w:r>
    </w:p>
    <w:p>
      <w:pPr>
        <w:pStyle w:val="57"/>
        <w:ind w:firstLine="420"/>
      </w:pPr>
      <w:r>
        <w:rPr>
          <w:rFonts w:hint="eastAsia"/>
        </w:rPr>
        <w:t>在坝体中填充滤料，滤料宜选用3.0 cm～5.0 cm粒径的火山石、鹅卵石、陶粒、活性炭、牡蛎壳、细沙、珊瑚石、毛刷等，</w:t>
      </w:r>
      <w:r>
        <w:rPr>
          <w:rFonts w:hint="eastAsia" w:hAnsi="宋体" w:cs="宋体"/>
        </w:rPr>
        <w:t>坝面中间应铺设板块或碎石。</w:t>
      </w:r>
      <w:r>
        <w:rPr>
          <w:rFonts w:hint="eastAsia"/>
        </w:rPr>
        <w:t>滤材粒径大小应顺着水流方向和垂直水流方向依次选用。除毛刷外的滤材可采用网袋、石笼或塑料筐包装后填充至空心砖间。</w:t>
      </w:r>
    </w:p>
    <w:p>
      <w:pPr>
        <w:pStyle w:val="66"/>
        <w:spacing w:before="120" w:after="120"/>
      </w:pPr>
      <w:r>
        <w:rPr>
          <w:rFonts w:hint="eastAsia"/>
        </w:rPr>
        <w:t>其他</w:t>
      </w:r>
    </w:p>
    <w:p>
      <w:pPr>
        <w:pStyle w:val="57"/>
        <w:ind w:firstLine="420"/>
        <w:rPr>
          <w:rFonts w:ascii="Times New Roman"/>
        </w:rPr>
      </w:pPr>
      <w:r>
        <w:rPr>
          <w:rFonts w:hint="eastAsia"/>
        </w:rPr>
        <w:t>坝体前应设细网材质的挡网</w:t>
      </w:r>
      <w:r>
        <w:rPr>
          <w:rFonts w:hint="eastAsia" w:hAnsi="宋体" w:cs="宋体"/>
        </w:rPr>
        <w:t>，高度高于过滤坝10 cm～</w:t>
      </w:r>
      <w:r>
        <w:rPr>
          <w:rFonts w:hint="eastAsia" w:ascii="Times New Roman"/>
        </w:rPr>
        <w:t>20 cm。</w:t>
      </w:r>
      <w:r>
        <w:rPr>
          <w:rFonts w:hint="eastAsia" w:hAnsi="宋体" w:cs="宋体"/>
        </w:rPr>
        <w:t>每个过滤坝应配置4条直径为320 mm PVC管道，用于泄洪和水位调节。坝两端宜种植低矮景观植物。</w:t>
      </w:r>
    </w:p>
    <w:p>
      <w:pPr>
        <w:pStyle w:val="106"/>
        <w:spacing w:before="120" w:after="120"/>
        <w:ind w:left="0"/>
      </w:pPr>
      <w:r>
        <w:rPr>
          <w:rFonts w:hint="eastAsia"/>
        </w:rPr>
        <w:t>曝气区</w:t>
      </w:r>
    </w:p>
    <w:p>
      <w:pPr>
        <w:pStyle w:val="57"/>
        <w:ind w:firstLine="420"/>
        <w:rPr>
          <w:rFonts w:hint="eastAsia" w:hAnsi="宋体" w:cs="宋体"/>
        </w:rPr>
      </w:pPr>
      <w:r>
        <w:rPr>
          <w:rFonts w:hint="eastAsia"/>
        </w:rPr>
        <w:t>曝气区面积占养殖尾水处理设施面积的</w:t>
      </w:r>
      <w:bookmarkStart w:id="47" w:name="OLE_LINK10"/>
      <w:r>
        <w:rPr>
          <w:rFonts w:hint="eastAsia"/>
        </w:rPr>
        <w:t>10%</w:t>
      </w:r>
      <w:r>
        <w:rPr>
          <w:rFonts w:hint="eastAsia" w:hAnsi="宋体" w:cs="宋体"/>
        </w:rPr>
        <w:t>～</w:t>
      </w:r>
      <w:r>
        <w:rPr>
          <w:rFonts w:hint="eastAsia"/>
        </w:rPr>
        <w:t>15%</w:t>
      </w:r>
      <w:r>
        <w:rPr>
          <w:rFonts w:hint="eastAsia" w:ascii="Times New Roman"/>
        </w:rPr>
        <w:t>，水深</w:t>
      </w:r>
      <w:bookmarkStart w:id="48" w:name="OLE_LINK12"/>
      <w:r>
        <w:rPr>
          <w:rFonts w:hint="eastAsia" w:hAnsi="宋体" w:cs="宋体"/>
        </w:rPr>
        <w:t>2.0 m～</w:t>
      </w:r>
      <w:r>
        <w:rPr>
          <w:rFonts w:hint="eastAsia" w:ascii="Times New Roman"/>
        </w:rPr>
        <w:t>2.5 m</w:t>
      </w:r>
      <w:bookmarkEnd w:id="48"/>
      <w:r>
        <w:rPr>
          <w:rFonts w:hint="eastAsia" w:hAnsi="宋体" w:cs="宋体"/>
        </w:rPr>
        <w:t>。配备相应功率的罗茨鼓风机，</w:t>
      </w:r>
      <w:r>
        <w:rPr>
          <w:rFonts w:hint="eastAsia"/>
        </w:rPr>
        <w:t>宜每667 m</w:t>
      </w:r>
      <w:r>
        <w:rPr>
          <w:rFonts w:hint="eastAsia"/>
          <w:vertAlign w:val="superscript"/>
        </w:rPr>
        <w:t>2</w:t>
      </w:r>
      <w:r>
        <w:rPr>
          <w:rFonts w:hint="eastAsia"/>
        </w:rPr>
        <w:t>配置功率不低于3.0 kW的曝气设备，并在底部铺</w:t>
      </w:r>
      <w:r>
        <w:rPr>
          <w:rFonts w:hint="eastAsia" w:hAnsi="宋体" w:cs="宋体"/>
        </w:rPr>
        <w:t>设</w:t>
      </w:r>
      <w:r>
        <w:rPr>
          <w:rFonts w:hint="eastAsia"/>
        </w:rPr>
        <w:t>30 cm</w:t>
      </w:r>
      <w:r>
        <w:rPr>
          <w:rFonts w:hint="eastAsia" w:hAnsi="宋体" w:cs="宋体"/>
        </w:rPr>
        <w:t>×40 cm规格的</w:t>
      </w:r>
      <w:r>
        <w:rPr>
          <w:rFonts w:hint="eastAsia"/>
        </w:rPr>
        <w:t>曝气盘30个～50个</w:t>
      </w:r>
      <w:r>
        <w:rPr>
          <w:rFonts w:hint="eastAsia" w:hAnsi="宋体" w:cs="宋体"/>
        </w:rPr>
        <w:t>，</w:t>
      </w:r>
      <w:r>
        <w:rPr>
          <w:rFonts w:hint="eastAsia" w:ascii="Times New Roman"/>
        </w:rPr>
        <w:t>曝气区底部与四周坡、岸基宜铺设土工膜</w:t>
      </w:r>
      <w:bookmarkEnd w:id="47"/>
      <w:r>
        <w:rPr>
          <w:rFonts w:hint="eastAsia" w:ascii="Times New Roman"/>
        </w:rPr>
        <w:t>。</w:t>
      </w:r>
    </w:p>
    <w:p>
      <w:pPr>
        <w:pStyle w:val="106"/>
        <w:spacing w:before="120" w:after="120"/>
        <w:ind w:left="0"/>
      </w:pPr>
      <w:bookmarkStart w:id="49" w:name="OLE_LINK11"/>
      <w:r>
        <w:rPr>
          <w:rFonts w:hint="eastAsia"/>
        </w:rPr>
        <w:t>立体吸附桩生物处理区</w:t>
      </w:r>
    </w:p>
    <w:p>
      <w:pPr>
        <w:pStyle w:val="57"/>
        <w:ind w:firstLine="420"/>
        <w:rPr>
          <w:rFonts w:ascii="Times New Roman"/>
        </w:rPr>
      </w:pPr>
      <w:r>
        <w:rPr>
          <w:rFonts w:hint="eastAsia"/>
        </w:rPr>
        <w:t>生物处理区面积宜占养殖尾水处理设施面积的10%</w:t>
      </w:r>
      <w:r>
        <w:rPr>
          <w:rFonts w:hint="eastAsia" w:hAnsi="宋体" w:cs="宋体"/>
        </w:rPr>
        <w:t>～</w:t>
      </w:r>
      <w:r>
        <w:rPr>
          <w:rFonts w:hint="eastAsia"/>
        </w:rPr>
        <w:t>15%</w:t>
      </w:r>
      <w:r>
        <w:rPr>
          <w:rFonts w:hint="eastAsia" w:ascii="Times New Roman"/>
        </w:rPr>
        <w:t>，</w:t>
      </w:r>
      <w:bookmarkStart w:id="50" w:name="OLE_LINK15"/>
      <w:r>
        <w:rPr>
          <w:rFonts w:hint="eastAsia" w:ascii="Times New Roman"/>
        </w:rPr>
        <w:t>水深</w:t>
      </w:r>
      <w:r>
        <w:rPr>
          <w:rFonts w:hint="eastAsia" w:hAnsi="宋体" w:cs="宋体"/>
        </w:rPr>
        <w:t>2.0 m～</w:t>
      </w:r>
      <w:r>
        <w:rPr>
          <w:rFonts w:hint="eastAsia" w:ascii="Times New Roman"/>
        </w:rPr>
        <w:t>2</w:t>
      </w:r>
      <w:r>
        <w:rPr>
          <w:rFonts w:hint="eastAsia" w:hAnsi="宋体" w:cs="宋体"/>
        </w:rPr>
        <w:t>.5 m</w:t>
      </w:r>
      <w:r>
        <w:rPr>
          <w:rFonts w:hint="eastAsia" w:ascii="Times New Roman"/>
        </w:rPr>
        <w:t>。</w:t>
      </w:r>
      <w:bookmarkEnd w:id="50"/>
      <w:bookmarkStart w:id="51" w:name="OLE_LINK16"/>
      <w:r>
        <w:rPr>
          <w:rFonts w:hint="eastAsia" w:ascii="Times New Roman"/>
        </w:rPr>
        <w:t>区域内配置立体吸附桩（3.50 m × 3.50 m × 1.70 m），密度为每10</w:t>
      </w:r>
      <w:r>
        <w:rPr>
          <w:rFonts w:hint="eastAsia" w:hAnsi="宋体" w:cs="宋体"/>
        </w:rPr>
        <w:t xml:space="preserve"> m</w:t>
      </w:r>
      <w:r>
        <w:rPr>
          <w:rFonts w:hint="eastAsia" w:ascii="Times New Roman"/>
          <w:vertAlign w:val="superscript"/>
        </w:rPr>
        <w:t>2</w:t>
      </w:r>
      <w:r>
        <w:rPr>
          <w:rFonts w:hint="eastAsia" w:ascii="Times New Roman"/>
        </w:rPr>
        <w:t>设置1个。</w:t>
      </w:r>
      <w:bookmarkEnd w:id="51"/>
      <w:bookmarkStart w:id="52" w:name="OLE_LINK17"/>
      <w:r>
        <w:rPr>
          <w:rFonts w:hint="eastAsia" w:ascii="Times New Roman"/>
        </w:rPr>
        <w:t>放养滤食性动物</w:t>
      </w:r>
      <w:bookmarkEnd w:id="52"/>
      <w:r>
        <w:rPr>
          <w:rFonts w:hint="eastAsia" w:ascii="Times New Roman"/>
        </w:rPr>
        <w:t>，结合水质指标定期接种生物菌，水体投放小球藻、卵囊藻等，补充碳源物质。</w:t>
      </w:r>
    </w:p>
    <w:bookmarkEnd w:id="49"/>
    <w:p>
      <w:pPr>
        <w:pStyle w:val="106"/>
        <w:spacing w:before="120" w:after="120"/>
        <w:ind w:left="0"/>
      </w:pPr>
      <w:r>
        <w:rPr>
          <w:rFonts w:hint="eastAsia"/>
        </w:rPr>
        <w:t>暗化区</w:t>
      </w:r>
    </w:p>
    <w:p>
      <w:pPr>
        <w:pStyle w:val="57"/>
        <w:ind w:firstLine="420"/>
        <w:rPr>
          <w:rFonts w:hint="eastAsia" w:hAnsi="宋体" w:cs="宋体"/>
        </w:rPr>
      </w:pPr>
      <w:r>
        <w:rPr>
          <w:rFonts w:hint="eastAsia"/>
        </w:rPr>
        <w:t>暗化区面积占养殖尾水处理设施面积的</w:t>
      </w:r>
      <w:bookmarkStart w:id="53" w:name="OLE_LINK13"/>
      <w:bookmarkStart w:id="54" w:name="OLE_LINK14"/>
      <w:r>
        <w:rPr>
          <w:rFonts w:hint="eastAsia"/>
        </w:rPr>
        <w:t>5%</w:t>
      </w:r>
      <w:r>
        <w:rPr>
          <w:rFonts w:hint="eastAsia" w:hAnsi="宋体" w:cs="宋体"/>
        </w:rPr>
        <w:t>～</w:t>
      </w:r>
      <w:r>
        <w:rPr>
          <w:rFonts w:hint="eastAsia" w:ascii="Times New Roman"/>
        </w:rPr>
        <w:t>10%</w:t>
      </w:r>
      <w:bookmarkEnd w:id="53"/>
      <w:r>
        <w:rPr>
          <w:rFonts w:hint="eastAsia" w:ascii="Times New Roman"/>
        </w:rPr>
        <w:t>，水深</w:t>
      </w:r>
      <w:r>
        <w:rPr>
          <w:rFonts w:hint="eastAsia" w:hAnsi="宋体" w:cs="宋体"/>
        </w:rPr>
        <w:t>2.0 m～</w:t>
      </w:r>
      <w:r>
        <w:rPr>
          <w:rFonts w:hint="eastAsia" w:ascii="Times New Roman"/>
        </w:rPr>
        <w:t>2.5 m</w:t>
      </w:r>
      <w:r>
        <w:rPr>
          <w:rFonts w:hint="eastAsia" w:hAnsi="宋体" w:cs="宋体"/>
        </w:rPr>
        <w:t>。</w:t>
      </w:r>
      <w:bookmarkEnd w:id="54"/>
      <w:r>
        <w:rPr>
          <w:rFonts w:hint="eastAsia" w:hAnsi="宋体" w:cs="宋体"/>
        </w:rPr>
        <w:t>在暗化区上方铺设黑网，以遮挡阳光</w:t>
      </w:r>
      <w:r>
        <w:rPr>
          <w:rFonts w:hint="eastAsia" w:ascii="Times New Roman"/>
        </w:rPr>
        <w:t>。暗化区底部与四周坡、岸基应铺设土工膜</w:t>
      </w:r>
      <w:r>
        <w:rPr>
          <w:rFonts w:hint="eastAsia" w:hAnsi="宋体" w:cs="宋体"/>
        </w:rPr>
        <w:t>。</w:t>
      </w:r>
    </w:p>
    <w:p>
      <w:pPr>
        <w:pStyle w:val="106"/>
        <w:spacing w:before="120" w:after="120"/>
        <w:ind w:left="0"/>
      </w:pPr>
      <w:r>
        <w:rPr>
          <w:rFonts w:hint="eastAsia"/>
        </w:rPr>
        <w:t>综合种养生物净化区</w:t>
      </w:r>
    </w:p>
    <w:p>
      <w:pPr>
        <w:pStyle w:val="57"/>
        <w:ind w:firstLine="420"/>
        <w:rPr>
          <w:rFonts w:ascii="Times New Roman"/>
        </w:rPr>
      </w:pPr>
      <w:r>
        <w:rPr>
          <w:rFonts w:hint="eastAsia"/>
        </w:rPr>
        <w:t>综合种养生物净化区占养殖尾水处理设施总面积的10%</w:t>
      </w:r>
      <w:r>
        <w:rPr>
          <w:rFonts w:hint="eastAsia" w:hAnsi="宋体" w:cs="宋体"/>
        </w:rPr>
        <w:t>～</w:t>
      </w:r>
      <w:r>
        <w:rPr>
          <w:rFonts w:hint="eastAsia" w:ascii="Times New Roman"/>
        </w:rPr>
        <w:t>15%，水深</w:t>
      </w:r>
      <w:r>
        <w:rPr>
          <w:rFonts w:hint="eastAsia" w:hAnsi="宋体" w:cs="宋体"/>
        </w:rPr>
        <w:t>2.0 m～</w:t>
      </w:r>
      <w:r>
        <w:rPr>
          <w:rFonts w:hint="eastAsia" w:ascii="Times New Roman"/>
        </w:rPr>
        <w:t xml:space="preserve">4.0 </w:t>
      </w:r>
      <w:r>
        <w:rPr>
          <w:rFonts w:hint="eastAsia" w:hAnsi="宋体" w:cs="宋体"/>
        </w:rPr>
        <w:t>m。</w:t>
      </w:r>
      <w:r>
        <w:rPr>
          <w:rFonts w:hint="eastAsia" w:ascii="Times New Roman"/>
        </w:rPr>
        <w:t>区域内配置立体吸附桩（3.50 m × 3.50 m × 1.70 m），密度为每50 m</w:t>
      </w:r>
      <w:r>
        <w:rPr>
          <w:rFonts w:hint="eastAsia" w:ascii="Times New Roman"/>
          <w:vertAlign w:val="superscript"/>
        </w:rPr>
        <w:t>2</w:t>
      </w:r>
      <w:r>
        <w:rPr>
          <w:rFonts w:hint="eastAsia" w:ascii="Times New Roman"/>
        </w:rPr>
        <w:t>设置1个。</w:t>
      </w:r>
      <w:r>
        <w:rPr>
          <w:rFonts w:hint="eastAsia"/>
        </w:rPr>
        <w:t>近岸浅水区宜种植挺水植物；水深1.0 m～2.0 m区宜种植浮水植物及沉水植物。水深</w:t>
      </w:r>
      <w:r>
        <w:rPr>
          <w:rFonts w:hint="eastAsia" w:hAnsi="宋体" w:cs="宋体"/>
        </w:rPr>
        <w:t>≥</w:t>
      </w:r>
      <w:r>
        <w:rPr>
          <w:rFonts w:hint="eastAsia"/>
        </w:rPr>
        <w:t>2.0m区域可按一定比例设置生态浮岛，浮岛上宜栽植水生花卉植物。综合种养净化区的植物面积应占水面面积的50%～60%，其中常绿植物占植物总面积的50%以上。</w:t>
      </w:r>
      <w:r>
        <w:rPr>
          <w:rFonts w:hint="eastAsia" w:ascii="Times New Roman"/>
        </w:rPr>
        <w:t>放养滤食性动物，并按1:10肉食性动物。</w:t>
      </w:r>
    </w:p>
    <w:p>
      <w:pPr>
        <w:pStyle w:val="106"/>
        <w:spacing w:before="120" w:after="120"/>
        <w:ind w:left="0"/>
      </w:pPr>
      <w:r>
        <w:rPr>
          <w:rFonts w:hint="eastAsia"/>
        </w:rPr>
        <w:t>提水设备</w:t>
      </w:r>
    </w:p>
    <w:p>
      <w:pPr>
        <w:pStyle w:val="57"/>
        <w:ind w:firstLine="420"/>
      </w:pPr>
      <w:r>
        <w:rPr>
          <w:rFonts w:hint="eastAsia"/>
        </w:rPr>
        <w:t>应在生物处理区、综合种养净化区以及末端排水处，配备水泵等提水设备。</w:t>
      </w:r>
    </w:p>
    <w:p>
      <w:pPr>
        <w:pStyle w:val="105"/>
        <w:spacing w:before="240" w:after="240"/>
      </w:pPr>
      <w:r>
        <w:rPr>
          <w:rFonts w:hint="eastAsia"/>
        </w:rPr>
        <w:t>生物配置</w:t>
      </w:r>
    </w:p>
    <w:p>
      <w:pPr>
        <w:pStyle w:val="106"/>
        <w:spacing w:before="120" w:after="120"/>
        <w:ind w:left="0"/>
      </w:pPr>
      <w:r>
        <w:rPr>
          <w:rFonts w:hint="eastAsia"/>
        </w:rPr>
        <w:t>植物配置</w:t>
      </w:r>
    </w:p>
    <w:p>
      <w:pPr>
        <w:pStyle w:val="66"/>
        <w:spacing w:before="120" w:after="120"/>
      </w:pPr>
      <w:r>
        <w:rPr>
          <w:rFonts w:hint="eastAsia"/>
        </w:rPr>
        <w:t>植物的选择</w:t>
      </w:r>
    </w:p>
    <w:p>
      <w:pPr>
        <w:pStyle w:val="57"/>
        <w:ind w:firstLine="420"/>
      </w:pPr>
      <w:r>
        <w:rPr>
          <w:rFonts w:hint="eastAsia"/>
        </w:rPr>
        <w:t>以选择根系发达、生长茂盛、易于栽种，对氮、磷等元素具较强吸收、转化与利用能力，具一定经济价值或易于处置利用，可形成良好生态景观的植物种类为宜，其中应配置</w:t>
      </w:r>
      <w:r>
        <w:rPr>
          <w:rFonts w:hint="eastAsia" w:hAnsi="宋体" w:cs="宋体"/>
        </w:rPr>
        <w:t>≥30%无冬眠型水生植物</w:t>
      </w:r>
      <w:r>
        <w:rPr>
          <w:rFonts w:hint="eastAsia"/>
        </w:rPr>
        <w:t>。</w:t>
      </w:r>
    </w:p>
    <w:p>
      <w:pPr>
        <w:pStyle w:val="66"/>
        <w:spacing w:before="120" w:after="120"/>
      </w:pPr>
      <w:r>
        <w:rPr>
          <w:rFonts w:hint="eastAsia"/>
        </w:rPr>
        <w:t>生态沟渠植物配置</w:t>
      </w:r>
    </w:p>
    <w:p>
      <w:pPr>
        <w:pStyle w:val="233"/>
      </w:pPr>
      <w:r>
        <w:rPr>
          <w:rFonts w:hint="eastAsia"/>
        </w:rPr>
        <w:t>由人工种植和自然演替植物组成，沟壑植物宜以自然演替为主，人工种植如狗牙根、台湾枸杞、黑麦草；沟中宜相间种植水生鸢尾、茭白、菖蒲、空心菜、水芹菜等挺水植物和金鱼藻、马来眼子菜、苦草等沉水植物。沟中种植面积占生态沟渠水面面积的50%～60%，其中常绿植物应占植物总面积的50%以上。</w:t>
      </w:r>
    </w:p>
    <w:p>
      <w:pPr>
        <w:pStyle w:val="66"/>
        <w:spacing w:before="120" w:after="120"/>
      </w:pPr>
      <w:r>
        <w:rPr>
          <w:rFonts w:hint="eastAsia"/>
        </w:rPr>
        <w:t>生物处理和净化区植物配置</w:t>
      </w:r>
    </w:p>
    <w:p>
      <w:pPr>
        <w:pStyle w:val="233"/>
      </w:pPr>
      <w:r>
        <w:rPr>
          <w:rFonts w:hint="eastAsia"/>
        </w:rPr>
        <w:t>生物处理或净化区岸边宜种植桑树、矮木瓜、番石榴等，间距为4.0 m～6.0 m。立体吸附桩系统宜种选种再力花、美人蕉等挺水植物；综合种养生物净化区近岸浅水区宜种植水生鸢尾、茭白、菖蒲、茨菇、水葱、旱伞草、芋头、梭鱼草、再力花、千屈菜、空心菜、水芹菜、美人蕉等挺水植物；水深1.0 m～2.0 m区宜种植睡莲、王莲、茨实、菱、莲藕等浮水植物及金鱼藻、马来眼子菜、苦草、狐尾藻、小茨藻、轮叶黑藻等沉水植物。生物处理及净化区植物面积应占池水面面积的50%～60%，其中常绿植物占植物总面积的50%以上。</w:t>
      </w:r>
    </w:p>
    <w:p>
      <w:pPr>
        <w:pStyle w:val="233"/>
      </w:pPr>
      <w:r>
        <w:rPr>
          <w:rFonts w:hint="eastAsia"/>
        </w:rPr>
        <w:t>综合种养生物净化区中可按一定比例设置生态浮岛，在浮岛上宜栽植水生鸢尾、美人蕉、再力花、菖蒲等花卉植物。</w:t>
      </w:r>
    </w:p>
    <w:p>
      <w:pPr>
        <w:pStyle w:val="106"/>
        <w:spacing w:before="120" w:after="120"/>
        <w:ind w:left="0"/>
      </w:pPr>
      <w:r>
        <w:rPr>
          <w:rFonts w:hint="eastAsia"/>
        </w:rPr>
        <w:t>动物配置</w:t>
      </w:r>
    </w:p>
    <w:p>
      <w:pPr>
        <w:pStyle w:val="66"/>
        <w:spacing w:before="120" w:after="120"/>
      </w:pPr>
      <w:r>
        <w:rPr>
          <w:rFonts w:hint="eastAsia"/>
        </w:rPr>
        <w:t>动物的选择</w:t>
      </w:r>
    </w:p>
    <w:p>
      <w:pPr>
        <w:pStyle w:val="57"/>
        <w:ind w:firstLine="420"/>
      </w:pPr>
      <w:r>
        <w:rPr>
          <w:rFonts w:hint="eastAsia"/>
        </w:rPr>
        <w:t>以选择对养殖尾水具较强净化能力的水生动物种类为宜。</w:t>
      </w:r>
    </w:p>
    <w:p>
      <w:pPr>
        <w:pStyle w:val="66"/>
        <w:spacing w:before="120" w:after="120"/>
      </w:pPr>
      <w:r>
        <w:rPr>
          <w:rFonts w:hint="eastAsia"/>
        </w:rPr>
        <w:t>水生动物配置</w:t>
      </w:r>
    </w:p>
    <w:p>
      <w:pPr>
        <w:pStyle w:val="233"/>
      </w:pPr>
      <w:r>
        <w:rPr>
          <w:rFonts w:hint="eastAsia"/>
        </w:rPr>
        <w:t>生物处理或净化区螺蚌放养密度以50.0 kg/667m</w:t>
      </w:r>
      <w:r>
        <w:rPr>
          <w:rFonts w:hint="eastAsia"/>
          <w:vertAlign w:val="superscript"/>
        </w:rPr>
        <w:t>2</w:t>
      </w:r>
      <w:r>
        <w:rPr>
          <w:rFonts w:hint="eastAsia"/>
        </w:rPr>
        <w:t>～100.0 kg/667 m</w:t>
      </w:r>
      <w:r>
        <w:rPr>
          <w:rFonts w:hint="eastAsia"/>
          <w:vertAlign w:val="superscript"/>
        </w:rPr>
        <w:t>2</w:t>
      </w:r>
      <w:r>
        <w:rPr>
          <w:rFonts w:hint="eastAsia"/>
        </w:rPr>
        <w:t>为宜，鲢、鳙、泥鳅、鲮鱼等滤食性和杂食性鱼类放养密度以30 尾/667 m</w:t>
      </w:r>
      <w:r>
        <w:rPr>
          <w:rFonts w:hint="eastAsia"/>
          <w:vertAlign w:val="superscript"/>
        </w:rPr>
        <w:t>2</w:t>
      </w:r>
      <w:r>
        <w:rPr>
          <w:rFonts w:hint="eastAsia"/>
        </w:rPr>
        <w:t>～50 尾/667 m</w:t>
      </w:r>
      <w:r>
        <w:rPr>
          <w:rFonts w:hint="eastAsia"/>
          <w:vertAlign w:val="superscript"/>
        </w:rPr>
        <w:t>2</w:t>
      </w:r>
      <w:r>
        <w:rPr>
          <w:rFonts w:hint="eastAsia"/>
        </w:rPr>
        <w:t>为宜。非生物处理或净化区中螺蚌放养密度应减半；还可适当选择搭配草食性鱼类，如草鱼放养密度以10 尾/667 m</w:t>
      </w:r>
      <w:r>
        <w:rPr>
          <w:rFonts w:hint="eastAsia"/>
          <w:vertAlign w:val="superscript"/>
        </w:rPr>
        <w:t>2</w:t>
      </w:r>
      <w:r>
        <w:rPr>
          <w:rFonts w:hint="eastAsia"/>
        </w:rPr>
        <w:t>～20 尾/667 m</w:t>
      </w:r>
      <w:r>
        <w:rPr>
          <w:rFonts w:hint="eastAsia"/>
          <w:vertAlign w:val="superscript"/>
        </w:rPr>
        <w:t>2</w:t>
      </w:r>
      <w:r>
        <w:rPr>
          <w:rFonts w:hint="eastAsia"/>
        </w:rPr>
        <w:t>为宜。</w:t>
      </w:r>
    </w:p>
    <w:p>
      <w:pPr>
        <w:pStyle w:val="106"/>
        <w:spacing w:before="120" w:after="120"/>
        <w:ind w:left="0"/>
      </w:pPr>
      <w:r>
        <w:rPr>
          <w:rFonts w:hint="eastAsia"/>
        </w:rPr>
        <w:t>微生物配置</w:t>
      </w:r>
    </w:p>
    <w:p>
      <w:pPr>
        <w:pStyle w:val="66"/>
        <w:spacing w:before="120" w:after="120"/>
      </w:pPr>
      <w:r>
        <w:rPr>
          <w:rFonts w:hint="eastAsia"/>
        </w:rPr>
        <w:t>微生物选择</w:t>
      </w:r>
    </w:p>
    <w:p>
      <w:pPr>
        <w:pStyle w:val="57"/>
        <w:ind w:firstLine="420"/>
      </w:pPr>
      <w:r>
        <w:rPr>
          <w:rFonts w:hint="eastAsia"/>
        </w:rPr>
        <w:t>以选择对养殖尾水有机物具较强分解能力的微生物种类为宜，并应符合GB 20287的规定。</w:t>
      </w:r>
    </w:p>
    <w:p>
      <w:pPr>
        <w:pStyle w:val="66"/>
        <w:spacing w:before="120" w:after="120"/>
      </w:pPr>
      <w:r>
        <w:rPr>
          <w:rFonts w:hint="eastAsia"/>
        </w:rPr>
        <w:t>微生物配置</w:t>
      </w:r>
    </w:p>
    <w:p>
      <w:pPr>
        <w:pStyle w:val="233"/>
      </w:pPr>
      <w:r>
        <w:rPr>
          <w:rFonts w:hint="eastAsia"/>
        </w:rPr>
        <w:t>曝气区、生物处理区、生物净化区级养殖池塘均可定期添加，种类宜选择芽孢杆菌、光合细菌、乳酸杆菌、硝化菌等微生物制剂种类，也可选择卵囊藻、小球藻+菌组成的复配物质。</w:t>
      </w:r>
    </w:p>
    <w:p>
      <w:pPr>
        <w:pStyle w:val="105"/>
        <w:spacing w:before="240" w:after="240"/>
      </w:pPr>
      <w:r>
        <w:rPr>
          <w:rFonts w:hint="eastAsia"/>
        </w:rPr>
        <w:t>生物碳源</w:t>
      </w:r>
    </w:p>
    <w:p>
      <w:pPr>
        <w:pStyle w:val="106"/>
        <w:spacing w:before="120" w:after="120"/>
        <w:ind w:left="0"/>
      </w:pPr>
      <w:r>
        <w:rPr>
          <w:rFonts w:hint="eastAsia"/>
        </w:rPr>
        <w:t>碳源选择</w:t>
      </w:r>
    </w:p>
    <w:p>
      <w:pPr>
        <w:pStyle w:val="57"/>
        <w:ind w:firstLine="420"/>
      </w:pPr>
      <w:r>
        <w:rPr>
          <w:rFonts w:hint="eastAsia"/>
        </w:rPr>
        <w:t>宜选择糖蜜、葡萄糖、红糖、淀粉、乙酸等有机糖源为佳。</w:t>
      </w:r>
    </w:p>
    <w:p>
      <w:pPr>
        <w:pStyle w:val="106"/>
        <w:spacing w:before="120" w:after="120"/>
        <w:ind w:left="0"/>
      </w:pPr>
      <w:bookmarkStart w:id="55" w:name="OLE_LINK27"/>
      <w:r>
        <w:rPr>
          <w:rFonts w:hint="eastAsia"/>
        </w:rPr>
        <w:t>碳氮比</w:t>
      </w:r>
    </w:p>
    <w:p>
      <w:pPr>
        <w:pStyle w:val="57"/>
        <w:ind w:firstLine="420"/>
      </w:pPr>
      <w:r>
        <w:rPr>
          <w:rFonts w:hint="eastAsia"/>
        </w:rPr>
        <w:t>碳氮比值宜控制在10～20。</w:t>
      </w:r>
    </w:p>
    <w:bookmarkEnd w:id="55"/>
    <w:p>
      <w:pPr>
        <w:pStyle w:val="106"/>
        <w:spacing w:before="120" w:after="120"/>
        <w:ind w:left="0"/>
      </w:pPr>
      <w:r>
        <w:rPr>
          <w:rFonts w:hint="eastAsia"/>
        </w:rPr>
        <w:t>添加方法</w:t>
      </w:r>
    </w:p>
    <w:p>
      <w:pPr>
        <w:pStyle w:val="57"/>
        <w:ind w:firstLine="420"/>
      </w:pPr>
      <w:r>
        <w:rPr>
          <w:rFonts w:hint="eastAsia"/>
        </w:rPr>
        <w:t>应选择碳源添加区域内额水溶解碳源后，均匀泼洒。同时，开启增氧机增氧，水体溶解氧含量应高于5 mg/L。</w:t>
      </w:r>
    </w:p>
    <w:p>
      <w:pPr>
        <w:pStyle w:val="105"/>
        <w:spacing w:before="240" w:after="240"/>
      </w:pPr>
      <w:bookmarkStart w:id="56" w:name="OLE_LINK22"/>
      <w:r>
        <w:rPr>
          <w:rFonts w:hint="eastAsia"/>
        </w:rPr>
        <w:t>处理方法</w:t>
      </w:r>
    </w:p>
    <w:p>
      <w:pPr>
        <w:pStyle w:val="106"/>
        <w:spacing w:before="120" w:after="120"/>
        <w:ind w:left="0"/>
      </w:pPr>
      <w:r>
        <w:rPr>
          <w:rFonts w:hint="eastAsia"/>
        </w:rPr>
        <w:t>养殖尾水收集</w:t>
      </w:r>
    </w:p>
    <w:p>
      <w:pPr>
        <w:pStyle w:val="57"/>
        <w:ind w:firstLine="420"/>
      </w:pPr>
      <w:r>
        <w:rPr>
          <w:rFonts w:hint="eastAsia"/>
        </w:rPr>
        <w:t>宜利用排水沟渠或排水管收集养殖池塘排放的养殖尾水进入生态沟渠。</w:t>
      </w:r>
    </w:p>
    <w:bookmarkEnd w:id="56"/>
    <w:p>
      <w:pPr>
        <w:pStyle w:val="106"/>
        <w:spacing w:before="120" w:after="120"/>
        <w:ind w:left="0"/>
      </w:pPr>
      <w:r>
        <w:rPr>
          <w:rFonts w:hint="eastAsia"/>
        </w:rPr>
        <w:t>沉淀</w:t>
      </w:r>
    </w:p>
    <w:p>
      <w:pPr>
        <w:pStyle w:val="233"/>
      </w:pPr>
      <w:r>
        <w:rPr>
          <w:rFonts w:hint="eastAsia"/>
        </w:rPr>
        <w:t>养殖尾水汇集至沉淀区，宜利用沉降作用和沉淀区中的挡水设施，将水体中悬浮物质等沉淀，养殖尾水沉淀时长以36 h～72 h为宜。</w:t>
      </w:r>
    </w:p>
    <w:p>
      <w:pPr>
        <w:pStyle w:val="106"/>
        <w:spacing w:before="120" w:after="120"/>
        <w:ind w:left="0"/>
      </w:pPr>
      <w:r>
        <w:rPr>
          <w:rFonts w:hint="eastAsia"/>
        </w:rPr>
        <w:t>过滤</w:t>
      </w:r>
    </w:p>
    <w:p>
      <w:pPr>
        <w:pStyle w:val="57"/>
        <w:ind w:firstLine="420"/>
      </w:pPr>
      <w:r>
        <w:rPr>
          <w:rFonts w:hint="eastAsia"/>
        </w:rPr>
        <w:t>经沉淀区沉淀处理的养殖尾水，应先经一级过滤坝，脱除养殖尾水中的悬浮物。</w:t>
      </w:r>
    </w:p>
    <w:p>
      <w:pPr>
        <w:pStyle w:val="106"/>
        <w:spacing w:before="120" w:after="120"/>
        <w:ind w:left="0"/>
      </w:pPr>
      <w:r>
        <w:rPr>
          <w:rFonts w:hint="eastAsia"/>
        </w:rPr>
        <w:t>曝气</w:t>
      </w:r>
    </w:p>
    <w:p>
      <w:pPr>
        <w:pStyle w:val="57"/>
        <w:ind w:firstLine="420"/>
      </w:pPr>
      <w:r>
        <w:rPr>
          <w:rFonts w:hint="eastAsia"/>
        </w:rPr>
        <w:t>经一级过滤坝过滤后的养殖尾水进入曝气区，利用曝气设备增加水体中溶氧，加速分解水体中有机物质，养殖尾水应停留24 h～48 h。</w:t>
      </w:r>
    </w:p>
    <w:p>
      <w:pPr>
        <w:pStyle w:val="106"/>
        <w:spacing w:before="120" w:after="120"/>
        <w:ind w:left="0"/>
      </w:pPr>
      <w:bookmarkStart w:id="57" w:name="OLE_LINK24"/>
      <w:r>
        <w:rPr>
          <w:rFonts w:hint="eastAsia"/>
        </w:rPr>
        <w:t>生物净化处理</w:t>
      </w:r>
    </w:p>
    <w:p>
      <w:pPr>
        <w:pStyle w:val="57"/>
        <w:ind w:firstLine="420"/>
      </w:pPr>
      <w:r>
        <w:rPr>
          <w:rFonts w:hint="eastAsia"/>
        </w:rPr>
        <w:t>曝气后的养殖尾水经二级过滤坝后进入生物处理区，利用配置的立体吸附桩及各种水生植物和动物吸收和利用水体中的氮、磷等营养盐，养殖尾水应停留48 h～96 h。</w:t>
      </w:r>
    </w:p>
    <w:bookmarkEnd w:id="57"/>
    <w:p>
      <w:pPr>
        <w:pStyle w:val="106"/>
        <w:spacing w:before="120" w:after="120"/>
        <w:ind w:left="0"/>
      </w:pPr>
      <w:r>
        <w:rPr>
          <w:rFonts w:hint="eastAsia"/>
        </w:rPr>
        <w:t>暗化处理区</w:t>
      </w:r>
    </w:p>
    <w:p>
      <w:pPr>
        <w:pStyle w:val="57"/>
        <w:ind w:firstLine="420"/>
      </w:pPr>
      <w:r>
        <w:rPr>
          <w:rFonts w:hint="eastAsia"/>
        </w:rPr>
        <w:t>生物净化处理后的养殖尾水经三级过滤坝后进入暗化处理区，利用上方覆盖的黑网，遮挡住光线，减少植物，特别是浮游植物藻类等的光合作用进行，脱除尾水中的大部分有机颗粒物质，养殖尾水应停留48 h～96 h。</w:t>
      </w:r>
    </w:p>
    <w:p>
      <w:pPr>
        <w:pStyle w:val="106"/>
        <w:spacing w:before="120" w:after="120"/>
        <w:ind w:left="0"/>
      </w:pPr>
      <w:r>
        <w:rPr>
          <w:rFonts w:hint="eastAsia"/>
        </w:rPr>
        <w:t>综合种养净化区</w:t>
      </w:r>
    </w:p>
    <w:p>
      <w:pPr>
        <w:pStyle w:val="57"/>
        <w:ind w:firstLine="420"/>
      </w:pPr>
      <w:r>
        <w:rPr>
          <w:rFonts w:hint="eastAsia"/>
        </w:rPr>
        <w:t>暗化处理后的养殖尾水经四级过滤坝后进入综合种养净化区，利用区域内的各种水生植物和动物吸收和利用水体中残留的氮、磷等营养盐，并消纳暗化处理区产生的部分有机颗粒物质，养殖尾水应停留48 h～96 h。</w:t>
      </w:r>
    </w:p>
    <w:p>
      <w:pPr>
        <w:pStyle w:val="105"/>
        <w:spacing w:before="240" w:after="240"/>
      </w:pPr>
      <w:r>
        <w:rPr>
          <w:rFonts w:hint="eastAsia"/>
        </w:rPr>
        <w:t>运行管理</w:t>
      </w:r>
    </w:p>
    <w:p>
      <w:pPr>
        <w:pStyle w:val="106"/>
        <w:spacing w:before="120" w:after="120"/>
        <w:ind w:left="0"/>
      </w:pPr>
      <w:r>
        <w:rPr>
          <w:rFonts w:hint="eastAsia"/>
        </w:rPr>
        <w:t>曝气增氧</w:t>
      </w:r>
    </w:p>
    <w:p>
      <w:pPr>
        <w:pStyle w:val="57"/>
        <w:ind w:firstLine="420"/>
      </w:pPr>
      <w:r>
        <w:rPr>
          <w:rFonts w:hint="eastAsia"/>
        </w:rPr>
        <w:t>养殖尾水处理时应开启曝气设施。</w:t>
      </w:r>
    </w:p>
    <w:p>
      <w:pPr>
        <w:pStyle w:val="106"/>
        <w:spacing w:before="120" w:after="120"/>
        <w:ind w:left="0"/>
      </w:pPr>
      <w:r>
        <w:rPr>
          <w:rFonts w:hint="eastAsia"/>
        </w:rPr>
        <w:t>养殖尾水处理滞留时间</w:t>
      </w:r>
    </w:p>
    <w:p>
      <w:pPr>
        <w:pStyle w:val="233"/>
      </w:pPr>
      <w:r>
        <w:rPr>
          <w:rFonts w:hint="eastAsia"/>
        </w:rPr>
        <w:t>养殖尾水处理滞留时间应不低于24 h。</w:t>
      </w:r>
    </w:p>
    <w:p>
      <w:pPr>
        <w:pStyle w:val="106"/>
        <w:spacing w:before="120" w:after="120"/>
        <w:ind w:left="0"/>
      </w:pPr>
      <w:r>
        <w:rPr>
          <w:rFonts w:hint="eastAsia"/>
        </w:rPr>
        <w:t>尾水排放</w:t>
      </w:r>
    </w:p>
    <w:p>
      <w:pPr>
        <w:pStyle w:val="57"/>
        <w:ind w:firstLine="420"/>
      </w:pPr>
      <w:r>
        <w:rPr>
          <w:rFonts w:hint="eastAsia"/>
        </w:rPr>
        <w:t>应合理安排养殖尾水排放时间，宜分批次排放，避免集中排放。</w:t>
      </w:r>
    </w:p>
    <w:p>
      <w:pPr>
        <w:pStyle w:val="106"/>
        <w:spacing w:before="120" w:after="120"/>
        <w:ind w:left="0"/>
      </w:pPr>
      <w:r>
        <w:rPr>
          <w:rFonts w:hint="eastAsia"/>
        </w:rPr>
        <w:t>循环利用</w:t>
      </w:r>
    </w:p>
    <w:p>
      <w:pPr>
        <w:pStyle w:val="57"/>
        <w:ind w:firstLine="420"/>
      </w:pPr>
      <w:r>
        <w:rPr>
          <w:rFonts w:hint="eastAsia"/>
        </w:rPr>
        <w:t>养殖尾水经处理、净化后，方可循环利用。</w:t>
      </w:r>
    </w:p>
    <w:p>
      <w:pPr>
        <w:pStyle w:val="106"/>
        <w:spacing w:before="120" w:after="120"/>
        <w:ind w:left="0"/>
      </w:pPr>
      <w:r>
        <w:rPr>
          <w:rFonts w:hint="eastAsia"/>
        </w:rPr>
        <w:t>管护和清理</w:t>
      </w:r>
    </w:p>
    <w:p>
      <w:pPr>
        <w:pStyle w:val="57"/>
        <w:ind w:firstLine="420"/>
      </w:pPr>
      <w:r>
        <w:rPr>
          <w:rFonts w:hint="eastAsia"/>
        </w:rPr>
        <w:t>应视水质情况，在养殖池塘、曝气区和生物处理区中定期添加微生态制剂，加速水体中有机物分解；生物处理区进排水口处应加装防护网，防止水生动植物进入；宜定期收获、利用、处置尾水设施区域的水生动植物，保持一定的生物丰度和生物量；应定期清除沉淀区的悬浮物或淤积物、杂草；应适时检查曝气设施运行情况，以避免曝气盘堵塞；应定期清除坝前挡网拦截的悬浮物，清洗或更换过滤坝的滤材。</w:t>
      </w:r>
    </w:p>
    <w:p>
      <w:pPr>
        <w:pStyle w:val="106"/>
        <w:spacing w:before="120" w:after="120"/>
        <w:ind w:left="0"/>
      </w:pPr>
      <w:r>
        <w:rPr>
          <w:rFonts w:hint="eastAsia"/>
        </w:rPr>
        <w:t>水质测定</w:t>
      </w:r>
    </w:p>
    <w:p>
      <w:pPr>
        <w:pStyle w:val="57"/>
        <w:ind w:firstLine="420"/>
        <w:rPr>
          <w:b/>
          <w:bCs/>
        </w:rPr>
      </w:pPr>
      <w:r>
        <w:rPr>
          <w:rFonts w:hint="eastAsia"/>
        </w:rPr>
        <w:t>水体排放前需按国家或地方有关污染源检测的技术规范进行采样，对水质主要指标进行测定。按GB/T 11892 、GB/T 11893、HJ 636、HJ 1147及GB 11901的规定分别进行化学需氧量、总磷、总氮、pH及悬浮物的测定。</w:t>
      </w:r>
    </w:p>
    <w:p>
      <w:pPr>
        <w:pStyle w:val="105"/>
        <w:spacing w:before="240" w:after="240"/>
      </w:pPr>
      <w:r>
        <w:rPr>
          <w:rFonts w:hint="eastAsia"/>
        </w:rPr>
        <w:t>排放要求</w:t>
      </w:r>
    </w:p>
    <w:p>
      <w:pPr>
        <w:pStyle w:val="57"/>
        <w:ind w:firstLine="420"/>
      </w:pPr>
      <w:r>
        <w:rPr>
          <w:rFonts w:hint="eastAsia"/>
        </w:rPr>
        <w:t>尾水经处理后，水质应符合DB 44/2462相关的要求后，可外排。</w:t>
      </w:r>
    </w:p>
    <w:p>
      <w:pPr>
        <w:pStyle w:val="105"/>
        <w:spacing w:before="240" w:after="240"/>
      </w:pPr>
      <w:r>
        <w:rPr>
          <w:rFonts w:hint="eastAsia"/>
        </w:rPr>
        <w:t>循环利用要求</w:t>
      </w:r>
    </w:p>
    <w:p>
      <w:pPr>
        <w:pStyle w:val="57"/>
        <w:ind w:firstLine="420"/>
      </w:pPr>
      <w:r>
        <w:rPr>
          <w:rFonts w:hint="eastAsia"/>
        </w:rPr>
        <w:t>养殖尾水经处理后，水质应符合GB 11607的规定后，可循环利用。</w:t>
      </w:r>
    </w:p>
    <w:p>
      <w:pPr>
        <w:pStyle w:val="105"/>
        <w:spacing w:before="240" w:after="240"/>
      </w:pPr>
      <w:r>
        <w:rPr>
          <w:rFonts w:hint="eastAsia"/>
        </w:rPr>
        <w:t>技术档案</w:t>
      </w:r>
    </w:p>
    <w:p>
      <w:pPr>
        <w:pStyle w:val="57"/>
        <w:ind w:firstLine="420"/>
      </w:pPr>
      <w:r>
        <w:rPr>
          <w:rFonts w:hint="eastAsia"/>
        </w:rPr>
        <w:t>应建立技术档案，对养殖尾水处理过程进行详细记录，内容包括主要设施、工艺流程、生物配置、碳源补充、运行管理记录及相关水质监测、检测记录等。按时归档，档案需由专人保存24个月以上，做到可追溯。</w:t>
      </w:r>
    </w:p>
    <w:p>
      <w:pPr>
        <w:pStyle w:val="57"/>
        <w:ind w:firstLine="420"/>
      </w:pPr>
    </w:p>
    <w:bookmarkEnd w:id="13"/>
    <w:p>
      <w:pPr>
        <w:pStyle w:val="57"/>
        <w:ind w:firstLine="0" w:firstLineChars="0"/>
        <w:jc w:val="center"/>
        <w:rPr>
          <w:lang w:bidi="ar"/>
        </w:rPr>
      </w:pPr>
      <w:bookmarkStart w:id="58"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stretch>
                      <a:fillRect/>
                    </a:stretch>
                  </pic:blipFill>
                  <pic:spPr>
                    <a:xfrm>
                      <a:off x="0" y="0"/>
                      <a:ext cx="1485900" cy="317500"/>
                    </a:xfrm>
                    <a:prstGeom prst="rect">
                      <a:avLst/>
                    </a:prstGeom>
                  </pic:spPr>
                </pic:pic>
              </a:graphicData>
            </a:graphic>
          </wp:inline>
        </w:drawing>
      </w:r>
      <w:bookmarkEnd w:id="58"/>
    </w:p>
    <w:sectPr>
      <w:headerReference r:id="rId14" w:type="default"/>
      <w:footerReference r:id="rId15" w:type="default"/>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eastAsia="黑体"/>
        <w:lang w:val="en-US" w:eastAsia="zh-CN"/>
      </w:rPr>
    </w:pPr>
    <w:r>
      <w:fldChar w:fldCharType="begin"/>
    </w:r>
    <w:r>
      <w:instrText xml:space="preserve"> STYLEREF  标准文件_文件编号  \* MERGEFORMAT </w:instrText>
    </w:r>
    <w:r>
      <w:fldChar w:fldCharType="separate"/>
    </w:r>
    <w:r>
      <w:t>DB44/T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DB44/T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DB44/T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3828" w:firstLine="0"/>
      </w:pPr>
      <w:rPr>
        <w:color w:val="auto"/>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WNjYjRkOGFkYjAyZWZkNjI4ODc5ODFlZmRkZmIifQ=="/>
  </w:docVars>
  <w:rsids>
    <w:rsidRoot w:val="007C0A8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D65"/>
    <w:rsid w:val="000359C3"/>
    <w:rsid w:val="00035A7D"/>
    <w:rsid w:val="000365ED"/>
    <w:rsid w:val="0004249A"/>
    <w:rsid w:val="00043282"/>
    <w:rsid w:val="00044286"/>
    <w:rsid w:val="000462AB"/>
    <w:rsid w:val="00046817"/>
    <w:rsid w:val="00047F28"/>
    <w:rsid w:val="000503AA"/>
    <w:rsid w:val="000506A1"/>
    <w:rsid w:val="000515DD"/>
    <w:rsid w:val="0005265A"/>
    <w:rsid w:val="000539DD"/>
    <w:rsid w:val="00053BD3"/>
    <w:rsid w:val="000544B3"/>
    <w:rsid w:val="000556ED"/>
    <w:rsid w:val="00055FE2"/>
    <w:rsid w:val="0005616F"/>
    <w:rsid w:val="00060C2E"/>
    <w:rsid w:val="00061033"/>
    <w:rsid w:val="000619E9"/>
    <w:rsid w:val="000622D4"/>
    <w:rsid w:val="0006357D"/>
    <w:rsid w:val="00066947"/>
    <w:rsid w:val="00067F1E"/>
    <w:rsid w:val="00071CC0"/>
    <w:rsid w:val="00071CFC"/>
    <w:rsid w:val="00073C8C"/>
    <w:rsid w:val="00077B64"/>
    <w:rsid w:val="00080A1C"/>
    <w:rsid w:val="00082317"/>
    <w:rsid w:val="00083D2C"/>
    <w:rsid w:val="000845DE"/>
    <w:rsid w:val="00086AA1"/>
    <w:rsid w:val="00087A77"/>
    <w:rsid w:val="0009058C"/>
    <w:rsid w:val="00090BCB"/>
    <w:rsid w:val="00090CA6"/>
    <w:rsid w:val="00092B8A"/>
    <w:rsid w:val="00092FB0"/>
    <w:rsid w:val="000934C5"/>
    <w:rsid w:val="00093D25"/>
    <w:rsid w:val="00093DAB"/>
    <w:rsid w:val="00094D73"/>
    <w:rsid w:val="00096D63"/>
    <w:rsid w:val="000A0B60"/>
    <w:rsid w:val="000A0EB8"/>
    <w:rsid w:val="000A19FC"/>
    <w:rsid w:val="000A296B"/>
    <w:rsid w:val="000A29B3"/>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9E5"/>
    <w:rsid w:val="000E6FD7"/>
    <w:rsid w:val="000F06E1"/>
    <w:rsid w:val="000F0E3C"/>
    <w:rsid w:val="000F19D5"/>
    <w:rsid w:val="000F4050"/>
    <w:rsid w:val="000F4AEA"/>
    <w:rsid w:val="000F67E9"/>
    <w:rsid w:val="00104926"/>
    <w:rsid w:val="00113B1E"/>
    <w:rsid w:val="0011711C"/>
    <w:rsid w:val="001172BB"/>
    <w:rsid w:val="00124E4F"/>
    <w:rsid w:val="001260B7"/>
    <w:rsid w:val="001265CB"/>
    <w:rsid w:val="00126FA6"/>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40F"/>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839"/>
    <w:rsid w:val="001B71D0"/>
    <w:rsid w:val="001B71EE"/>
    <w:rsid w:val="001C04A8"/>
    <w:rsid w:val="001C2C03"/>
    <w:rsid w:val="001C42F7"/>
    <w:rsid w:val="001C49E5"/>
    <w:rsid w:val="001C680C"/>
    <w:rsid w:val="001C7FEA"/>
    <w:rsid w:val="001D0499"/>
    <w:rsid w:val="001D0BBE"/>
    <w:rsid w:val="001D0ED4"/>
    <w:rsid w:val="001D164B"/>
    <w:rsid w:val="001D212F"/>
    <w:rsid w:val="001D29D7"/>
    <w:rsid w:val="001D2DE7"/>
    <w:rsid w:val="001D411C"/>
    <w:rsid w:val="001E1B6A"/>
    <w:rsid w:val="001E2484"/>
    <w:rsid w:val="001E3CC4"/>
    <w:rsid w:val="001E4882"/>
    <w:rsid w:val="001E73AB"/>
    <w:rsid w:val="001F092D"/>
    <w:rsid w:val="001F143A"/>
    <w:rsid w:val="001F1605"/>
    <w:rsid w:val="001F22B9"/>
    <w:rsid w:val="001F2508"/>
    <w:rsid w:val="001F4816"/>
    <w:rsid w:val="001F4ED4"/>
    <w:rsid w:val="001F69B4"/>
    <w:rsid w:val="001F77C7"/>
    <w:rsid w:val="00200183"/>
    <w:rsid w:val="00200333"/>
    <w:rsid w:val="0020107D"/>
    <w:rsid w:val="00202AA4"/>
    <w:rsid w:val="002031F7"/>
    <w:rsid w:val="002040E6"/>
    <w:rsid w:val="0020527B"/>
    <w:rsid w:val="00205F2C"/>
    <w:rsid w:val="00210B15"/>
    <w:rsid w:val="002142EA"/>
    <w:rsid w:val="00215ADD"/>
    <w:rsid w:val="00216860"/>
    <w:rsid w:val="002204BB"/>
    <w:rsid w:val="00220760"/>
    <w:rsid w:val="00221B79"/>
    <w:rsid w:val="00221C6B"/>
    <w:rsid w:val="002253A1"/>
    <w:rsid w:val="00225CF8"/>
    <w:rsid w:val="0022794E"/>
    <w:rsid w:val="00233D64"/>
    <w:rsid w:val="0023482A"/>
    <w:rsid w:val="002359CB"/>
    <w:rsid w:val="002366B2"/>
    <w:rsid w:val="00237AB5"/>
    <w:rsid w:val="00243540"/>
    <w:rsid w:val="0024497B"/>
    <w:rsid w:val="0024515B"/>
    <w:rsid w:val="00246021"/>
    <w:rsid w:val="0024666E"/>
    <w:rsid w:val="00247F52"/>
    <w:rsid w:val="00250B25"/>
    <w:rsid w:val="00250BBE"/>
    <w:rsid w:val="002515C2"/>
    <w:rsid w:val="0025194F"/>
    <w:rsid w:val="00256C85"/>
    <w:rsid w:val="002604D1"/>
    <w:rsid w:val="0026148A"/>
    <w:rsid w:val="00262696"/>
    <w:rsid w:val="00263D25"/>
    <w:rsid w:val="002643C3"/>
    <w:rsid w:val="00264A0C"/>
    <w:rsid w:val="00266EEB"/>
    <w:rsid w:val="00267EF4"/>
    <w:rsid w:val="00270CB8"/>
    <w:rsid w:val="002725A1"/>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C6"/>
    <w:rsid w:val="002B4508"/>
    <w:rsid w:val="002B5779"/>
    <w:rsid w:val="002B7332"/>
    <w:rsid w:val="002B7F51"/>
    <w:rsid w:val="002C09E7"/>
    <w:rsid w:val="002C1E06"/>
    <w:rsid w:val="002C3F07"/>
    <w:rsid w:val="002C4184"/>
    <w:rsid w:val="002C5278"/>
    <w:rsid w:val="002C7EBB"/>
    <w:rsid w:val="002D06C1"/>
    <w:rsid w:val="002D42B5"/>
    <w:rsid w:val="002D4F1A"/>
    <w:rsid w:val="002D6EC6"/>
    <w:rsid w:val="002D79AC"/>
    <w:rsid w:val="002E039D"/>
    <w:rsid w:val="002E277F"/>
    <w:rsid w:val="002E4D5A"/>
    <w:rsid w:val="002E6326"/>
    <w:rsid w:val="002F30E0"/>
    <w:rsid w:val="002F35E4"/>
    <w:rsid w:val="002F3730"/>
    <w:rsid w:val="002F38E1"/>
    <w:rsid w:val="002F7671"/>
    <w:rsid w:val="002F7AF6"/>
    <w:rsid w:val="00300E63"/>
    <w:rsid w:val="00302F5F"/>
    <w:rsid w:val="0030441D"/>
    <w:rsid w:val="00306063"/>
    <w:rsid w:val="00313B85"/>
    <w:rsid w:val="00317988"/>
    <w:rsid w:val="00320BE7"/>
    <w:rsid w:val="003221B4"/>
    <w:rsid w:val="0032258D"/>
    <w:rsid w:val="00322E62"/>
    <w:rsid w:val="003230EF"/>
    <w:rsid w:val="00324D13"/>
    <w:rsid w:val="00324EDD"/>
    <w:rsid w:val="00326B3F"/>
    <w:rsid w:val="003331E4"/>
    <w:rsid w:val="00336C64"/>
    <w:rsid w:val="00337162"/>
    <w:rsid w:val="0034194F"/>
    <w:rsid w:val="00344605"/>
    <w:rsid w:val="00344AD8"/>
    <w:rsid w:val="003474AA"/>
    <w:rsid w:val="00350D1D"/>
    <w:rsid w:val="00352C83"/>
    <w:rsid w:val="00352F1A"/>
    <w:rsid w:val="00355AD6"/>
    <w:rsid w:val="003572A8"/>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45A"/>
    <w:rsid w:val="00392AD7"/>
    <w:rsid w:val="003938D9"/>
    <w:rsid w:val="00394376"/>
    <w:rsid w:val="003943FF"/>
    <w:rsid w:val="00395516"/>
    <w:rsid w:val="003974EB"/>
    <w:rsid w:val="00397CC5"/>
    <w:rsid w:val="003A1582"/>
    <w:rsid w:val="003A3D9C"/>
    <w:rsid w:val="003A3E50"/>
    <w:rsid w:val="003A4077"/>
    <w:rsid w:val="003A4AA7"/>
    <w:rsid w:val="003B09AD"/>
    <w:rsid w:val="003B1F18"/>
    <w:rsid w:val="003B5BF0"/>
    <w:rsid w:val="003B60BF"/>
    <w:rsid w:val="003B6BE3"/>
    <w:rsid w:val="003C010C"/>
    <w:rsid w:val="003C0A6C"/>
    <w:rsid w:val="003C14F8"/>
    <w:rsid w:val="003C59B4"/>
    <w:rsid w:val="003C5A43"/>
    <w:rsid w:val="003D0519"/>
    <w:rsid w:val="003D0FF6"/>
    <w:rsid w:val="003D262C"/>
    <w:rsid w:val="003D6D61"/>
    <w:rsid w:val="003E091D"/>
    <w:rsid w:val="003E1C53"/>
    <w:rsid w:val="003E2A69"/>
    <w:rsid w:val="003E2D49"/>
    <w:rsid w:val="003E2FD4"/>
    <w:rsid w:val="003E49F6"/>
    <w:rsid w:val="003E660F"/>
    <w:rsid w:val="003F0841"/>
    <w:rsid w:val="003F1C35"/>
    <w:rsid w:val="003F23D3"/>
    <w:rsid w:val="003F3F08"/>
    <w:rsid w:val="003F49F1"/>
    <w:rsid w:val="003F6272"/>
    <w:rsid w:val="00400E72"/>
    <w:rsid w:val="00401400"/>
    <w:rsid w:val="00403961"/>
    <w:rsid w:val="00404869"/>
    <w:rsid w:val="00405884"/>
    <w:rsid w:val="00407D39"/>
    <w:rsid w:val="004100DB"/>
    <w:rsid w:val="0041477A"/>
    <w:rsid w:val="004167A3"/>
    <w:rsid w:val="00432DAA"/>
    <w:rsid w:val="00434305"/>
    <w:rsid w:val="00435DF7"/>
    <w:rsid w:val="0044083F"/>
    <w:rsid w:val="00441AE7"/>
    <w:rsid w:val="00445574"/>
    <w:rsid w:val="004467FB"/>
    <w:rsid w:val="00452D6B"/>
    <w:rsid w:val="00454484"/>
    <w:rsid w:val="0045517B"/>
    <w:rsid w:val="00461593"/>
    <w:rsid w:val="00463B77"/>
    <w:rsid w:val="00463C7B"/>
    <w:rsid w:val="004644A6"/>
    <w:rsid w:val="004659BD"/>
    <w:rsid w:val="00470775"/>
    <w:rsid w:val="004746B1"/>
    <w:rsid w:val="0047583F"/>
    <w:rsid w:val="00475DE8"/>
    <w:rsid w:val="00477324"/>
    <w:rsid w:val="00481C44"/>
    <w:rsid w:val="00484936"/>
    <w:rsid w:val="00485C89"/>
    <w:rsid w:val="00486BE3"/>
    <w:rsid w:val="004905E4"/>
    <w:rsid w:val="00490A89"/>
    <w:rsid w:val="00490AB4"/>
    <w:rsid w:val="00492F02"/>
    <w:rsid w:val="004939AE"/>
    <w:rsid w:val="004A12DF"/>
    <w:rsid w:val="004A1BA8"/>
    <w:rsid w:val="004A4B57"/>
    <w:rsid w:val="004A4FB2"/>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8A9"/>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FC4"/>
    <w:rsid w:val="00533D04"/>
    <w:rsid w:val="00534804"/>
    <w:rsid w:val="00534BDF"/>
    <w:rsid w:val="005354EA"/>
    <w:rsid w:val="0053585F"/>
    <w:rsid w:val="00535EC4"/>
    <w:rsid w:val="00535ED9"/>
    <w:rsid w:val="0053692B"/>
    <w:rsid w:val="00541853"/>
    <w:rsid w:val="00543BDA"/>
    <w:rsid w:val="005441CC"/>
    <w:rsid w:val="00544B67"/>
    <w:rsid w:val="005479DA"/>
    <w:rsid w:val="00547BCC"/>
    <w:rsid w:val="0055013B"/>
    <w:rsid w:val="00551F6F"/>
    <w:rsid w:val="00555044"/>
    <w:rsid w:val="00561475"/>
    <w:rsid w:val="00562308"/>
    <w:rsid w:val="0056487B"/>
    <w:rsid w:val="005648B3"/>
    <w:rsid w:val="00564FB9"/>
    <w:rsid w:val="00573D9E"/>
    <w:rsid w:val="005801E3"/>
    <w:rsid w:val="005802DD"/>
    <w:rsid w:val="00581802"/>
    <w:rsid w:val="005836A8"/>
    <w:rsid w:val="0058409C"/>
    <w:rsid w:val="00584262"/>
    <w:rsid w:val="00586630"/>
    <w:rsid w:val="00587979"/>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289"/>
    <w:rsid w:val="006015CE"/>
    <w:rsid w:val="00604784"/>
    <w:rsid w:val="00606419"/>
    <w:rsid w:val="00607D29"/>
    <w:rsid w:val="00612952"/>
    <w:rsid w:val="00614CC1"/>
    <w:rsid w:val="00615A9D"/>
    <w:rsid w:val="00617387"/>
    <w:rsid w:val="006205D6"/>
    <w:rsid w:val="00620623"/>
    <w:rsid w:val="006252D8"/>
    <w:rsid w:val="006259BC"/>
    <w:rsid w:val="00625CC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8F7"/>
    <w:rsid w:val="00656D29"/>
    <w:rsid w:val="006612C7"/>
    <w:rsid w:val="006640E5"/>
    <w:rsid w:val="006646F1"/>
    <w:rsid w:val="00664929"/>
    <w:rsid w:val="00664F62"/>
    <w:rsid w:val="006655E1"/>
    <w:rsid w:val="00672060"/>
    <w:rsid w:val="00672BFD"/>
    <w:rsid w:val="006770F4"/>
    <w:rsid w:val="00677A84"/>
    <w:rsid w:val="0068026D"/>
    <w:rsid w:val="00680A27"/>
    <w:rsid w:val="006816A4"/>
    <w:rsid w:val="006819B8"/>
    <w:rsid w:val="00681F1E"/>
    <w:rsid w:val="006840A6"/>
    <w:rsid w:val="006850CD"/>
    <w:rsid w:val="00685AAB"/>
    <w:rsid w:val="006A07AA"/>
    <w:rsid w:val="006A1035"/>
    <w:rsid w:val="006A25E5"/>
    <w:rsid w:val="006A2B46"/>
    <w:rsid w:val="006A336D"/>
    <w:rsid w:val="006A37B9"/>
    <w:rsid w:val="006B2672"/>
    <w:rsid w:val="006B54BF"/>
    <w:rsid w:val="006B5F44"/>
    <w:rsid w:val="006B5F90"/>
    <w:rsid w:val="006B62E4"/>
    <w:rsid w:val="006B724E"/>
    <w:rsid w:val="006C1BBA"/>
    <w:rsid w:val="006C2079"/>
    <w:rsid w:val="006C4501"/>
    <w:rsid w:val="006C5A62"/>
    <w:rsid w:val="006C5B09"/>
    <w:rsid w:val="006C5D68"/>
    <w:rsid w:val="006C6976"/>
    <w:rsid w:val="006C6DD0"/>
    <w:rsid w:val="006D04EA"/>
    <w:rsid w:val="006D16C4"/>
    <w:rsid w:val="006D3E96"/>
    <w:rsid w:val="006D4515"/>
    <w:rsid w:val="006D4BB1"/>
    <w:rsid w:val="006D6593"/>
    <w:rsid w:val="006E1090"/>
    <w:rsid w:val="006F03A8"/>
    <w:rsid w:val="006F2ACA"/>
    <w:rsid w:val="006F2ADC"/>
    <w:rsid w:val="006F2BFE"/>
    <w:rsid w:val="006F31E9"/>
    <w:rsid w:val="006F6284"/>
    <w:rsid w:val="007002C5"/>
    <w:rsid w:val="00704387"/>
    <w:rsid w:val="00707669"/>
    <w:rsid w:val="00711C6B"/>
    <w:rsid w:val="00711CBA"/>
    <w:rsid w:val="00711FB5"/>
    <w:rsid w:val="00712A01"/>
    <w:rsid w:val="00714F58"/>
    <w:rsid w:val="00722296"/>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22"/>
    <w:rsid w:val="007A54CE"/>
    <w:rsid w:val="007A6FD9"/>
    <w:rsid w:val="007A7FFA"/>
    <w:rsid w:val="007B04EB"/>
    <w:rsid w:val="007B0D4F"/>
    <w:rsid w:val="007B5A3D"/>
    <w:rsid w:val="007B5B95"/>
    <w:rsid w:val="007B6032"/>
    <w:rsid w:val="007B68EA"/>
    <w:rsid w:val="007B7453"/>
    <w:rsid w:val="007C0A82"/>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782"/>
    <w:rsid w:val="008027CE"/>
    <w:rsid w:val="00802F42"/>
    <w:rsid w:val="00804383"/>
    <w:rsid w:val="00804BB7"/>
    <w:rsid w:val="00804D41"/>
    <w:rsid w:val="00810257"/>
    <w:rsid w:val="008104F5"/>
    <w:rsid w:val="00811072"/>
    <w:rsid w:val="00811369"/>
    <w:rsid w:val="008131E4"/>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C25"/>
    <w:rsid w:val="0085173A"/>
    <w:rsid w:val="008603CE"/>
    <w:rsid w:val="00861D04"/>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739"/>
    <w:rsid w:val="008A57E6"/>
    <w:rsid w:val="008A6F81"/>
    <w:rsid w:val="008A769A"/>
    <w:rsid w:val="008B0C9C"/>
    <w:rsid w:val="008B166D"/>
    <w:rsid w:val="008B17F4"/>
    <w:rsid w:val="008B3615"/>
    <w:rsid w:val="008B4AC4"/>
    <w:rsid w:val="008B50C8"/>
    <w:rsid w:val="008B5281"/>
    <w:rsid w:val="008B7E05"/>
    <w:rsid w:val="008C1797"/>
    <w:rsid w:val="008C219C"/>
    <w:rsid w:val="008C292B"/>
    <w:rsid w:val="008C475E"/>
    <w:rsid w:val="008C5566"/>
    <w:rsid w:val="008C619A"/>
    <w:rsid w:val="008D0CE8"/>
    <w:rsid w:val="008D245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6B3"/>
    <w:rsid w:val="008E6A84"/>
    <w:rsid w:val="008F0CDC"/>
    <w:rsid w:val="008F17A3"/>
    <w:rsid w:val="008F1ED3"/>
    <w:rsid w:val="008F3C3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EF8"/>
    <w:rsid w:val="009312BE"/>
    <w:rsid w:val="009378DD"/>
    <w:rsid w:val="009429D5"/>
    <w:rsid w:val="00942BF1"/>
    <w:rsid w:val="00945180"/>
    <w:rsid w:val="00945428"/>
    <w:rsid w:val="0094607B"/>
    <w:rsid w:val="00950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4DEB"/>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5E8"/>
    <w:rsid w:val="00A21120"/>
    <w:rsid w:val="00A2271D"/>
    <w:rsid w:val="00A237D5"/>
    <w:rsid w:val="00A305AD"/>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3B3"/>
    <w:rsid w:val="00A8715E"/>
    <w:rsid w:val="00A9295B"/>
    <w:rsid w:val="00A93B09"/>
    <w:rsid w:val="00A952D7"/>
    <w:rsid w:val="00A95F3C"/>
    <w:rsid w:val="00A963F7"/>
    <w:rsid w:val="00A96AD8"/>
    <w:rsid w:val="00A9774E"/>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ED2"/>
    <w:rsid w:val="00AF0C18"/>
    <w:rsid w:val="00AF35BB"/>
    <w:rsid w:val="00AF47C5"/>
    <w:rsid w:val="00AF5398"/>
    <w:rsid w:val="00AF61A9"/>
    <w:rsid w:val="00B049AF"/>
    <w:rsid w:val="00B07242"/>
    <w:rsid w:val="00B10534"/>
    <w:rsid w:val="00B113DB"/>
    <w:rsid w:val="00B116D1"/>
    <w:rsid w:val="00B11D8A"/>
    <w:rsid w:val="00B12981"/>
    <w:rsid w:val="00B12F05"/>
    <w:rsid w:val="00B147DD"/>
    <w:rsid w:val="00B156FD"/>
    <w:rsid w:val="00B21F61"/>
    <w:rsid w:val="00B261F1"/>
    <w:rsid w:val="00B265BC"/>
    <w:rsid w:val="00B316E9"/>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C16"/>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7977"/>
    <w:rsid w:val="00BC1A4E"/>
    <w:rsid w:val="00BC5DC7"/>
    <w:rsid w:val="00BC6B8B"/>
    <w:rsid w:val="00BC73D8"/>
    <w:rsid w:val="00BD52D7"/>
    <w:rsid w:val="00BD5AD2"/>
    <w:rsid w:val="00BE03C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56A"/>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03D2"/>
    <w:rsid w:val="00C6329F"/>
    <w:rsid w:val="00C63340"/>
    <w:rsid w:val="00C643F9"/>
    <w:rsid w:val="00C64E95"/>
    <w:rsid w:val="00C71372"/>
    <w:rsid w:val="00C714D9"/>
    <w:rsid w:val="00C72410"/>
    <w:rsid w:val="00C7287F"/>
    <w:rsid w:val="00C73439"/>
    <w:rsid w:val="00C80CB8"/>
    <w:rsid w:val="00C819F8"/>
    <w:rsid w:val="00C8248C"/>
    <w:rsid w:val="00C84E33"/>
    <w:rsid w:val="00C86D6F"/>
    <w:rsid w:val="00C87A18"/>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56D"/>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9CD"/>
    <w:rsid w:val="00D33333"/>
    <w:rsid w:val="00D352A2"/>
    <w:rsid w:val="00D4162B"/>
    <w:rsid w:val="00D4514F"/>
    <w:rsid w:val="00D451B6"/>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166"/>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679"/>
    <w:rsid w:val="00E62FF9"/>
    <w:rsid w:val="00E635D6"/>
    <w:rsid w:val="00E639BC"/>
    <w:rsid w:val="00E642AA"/>
    <w:rsid w:val="00E664CC"/>
    <w:rsid w:val="00E70388"/>
    <w:rsid w:val="00E70F92"/>
    <w:rsid w:val="00E72829"/>
    <w:rsid w:val="00E74313"/>
    <w:rsid w:val="00E74C54"/>
    <w:rsid w:val="00E77A03"/>
    <w:rsid w:val="00E822E8"/>
    <w:rsid w:val="00E82554"/>
    <w:rsid w:val="00E82606"/>
    <w:rsid w:val="00E831C1"/>
    <w:rsid w:val="00E846C8"/>
    <w:rsid w:val="00E84957"/>
    <w:rsid w:val="00E84A55"/>
    <w:rsid w:val="00E85BFF"/>
    <w:rsid w:val="00E870D4"/>
    <w:rsid w:val="00E90391"/>
    <w:rsid w:val="00E906C2"/>
    <w:rsid w:val="00E9311F"/>
    <w:rsid w:val="00E934D1"/>
    <w:rsid w:val="00E94AF0"/>
    <w:rsid w:val="00E95D13"/>
    <w:rsid w:val="00E95DD3"/>
    <w:rsid w:val="00E969D5"/>
    <w:rsid w:val="00EA1959"/>
    <w:rsid w:val="00EA58D1"/>
    <w:rsid w:val="00EA61BC"/>
    <w:rsid w:val="00EA681A"/>
    <w:rsid w:val="00EA735B"/>
    <w:rsid w:val="00EB1E69"/>
    <w:rsid w:val="00EB2086"/>
    <w:rsid w:val="00EB31ED"/>
    <w:rsid w:val="00EB5EDF"/>
    <w:rsid w:val="00EB60FE"/>
    <w:rsid w:val="00EB74DB"/>
    <w:rsid w:val="00EC5359"/>
    <w:rsid w:val="00EC549B"/>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41A"/>
    <w:rsid w:val="00F11586"/>
    <w:rsid w:val="00F1183B"/>
    <w:rsid w:val="00F11C9F"/>
    <w:rsid w:val="00F12263"/>
    <w:rsid w:val="00F1409D"/>
    <w:rsid w:val="00F14214"/>
    <w:rsid w:val="00F157A9"/>
    <w:rsid w:val="00F16F00"/>
    <w:rsid w:val="00F25BB6"/>
    <w:rsid w:val="00F26B7E"/>
    <w:rsid w:val="00F27A3B"/>
    <w:rsid w:val="00F33453"/>
    <w:rsid w:val="00F33817"/>
    <w:rsid w:val="00F420D5"/>
    <w:rsid w:val="00F451EA"/>
    <w:rsid w:val="00F45447"/>
    <w:rsid w:val="00F456C6"/>
    <w:rsid w:val="00F4577B"/>
    <w:rsid w:val="00F46496"/>
    <w:rsid w:val="00F474D0"/>
    <w:rsid w:val="00F47BB0"/>
    <w:rsid w:val="00F50179"/>
    <w:rsid w:val="00F515EE"/>
    <w:rsid w:val="00F56511"/>
    <w:rsid w:val="00F6194E"/>
    <w:rsid w:val="00F623AC"/>
    <w:rsid w:val="00F6412A"/>
    <w:rsid w:val="00F65893"/>
    <w:rsid w:val="00F66A4A"/>
    <w:rsid w:val="00F71E22"/>
    <w:rsid w:val="00F72142"/>
    <w:rsid w:val="00F72AE7"/>
    <w:rsid w:val="00F81A45"/>
    <w:rsid w:val="00F833BA"/>
    <w:rsid w:val="00F84FD0"/>
    <w:rsid w:val="00F859A8"/>
    <w:rsid w:val="00F86D87"/>
    <w:rsid w:val="00F9108B"/>
    <w:rsid w:val="00F91349"/>
    <w:rsid w:val="00F93A8A"/>
    <w:rsid w:val="00F95248"/>
    <w:rsid w:val="00F956A9"/>
    <w:rsid w:val="00F963ED"/>
    <w:rsid w:val="00F966CF"/>
    <w:rsid w:val="00F96CAE"/>
    <w:rsid w:val="00F97C99"/>
    <w:rsid w:val="00FA5BE3"/>
    <w:rsid w:val="00FA662D"/>
    <w:rsid w:val="00FA73B1"/>
    <w:rsid w:val="00FB0CB9"/>
    <w:rsid w:val="00FB231D"/>
    <w:rsid w:val="00FB45F1"/>
    <w:rsid w:val="00FB4A72"/>
    <w:rsid w:val="00FB54E8"/>
    <w:rsid w:val="00FB6031"/>
    <w:rsid w:val="00FB7054"/>
    <w:rsid w:val="00FC17B7"/>
    <w:rsid w:val="00FC2CB7"/>
    <w:rsid w:val="00FC4090"/>
    <w:rsid w:val="00FC55B4"/>
    <w:rsid w:val="00FD00E6"/>
    <w:rsid w:val="00FD09A1"/>
    <w:rsid w:val="00FD1F95"/>
    <w:rsid w:val="00FD2A7C"/>
    <w:rsid w:val="00FD59EB"/>
    <w:rsid w:val="00FD6DB9"/>
    <w:rsid w:val="00FD7299"/>
    <w:rsid w:val="00FE1FBE"/>
    <w:rsid w:val="00FE3901"/>
    <w:rsid w:val="00FE39D3"/>
    <w:rsid w:val="00FE4BCE"/>
    <w:rsid w:val="00FE54AE"/>
    <w:rsid w:val="00FE576A"/>
    <w:rsid w:val="00FE7E79"/>
    <w:rsid w:val="00FF362D"/>
    <w:rsid w:val="00FF3E7D"/>
    <w:rsid w:val="00FF5B99"/>
    <w:rsid w:val="00FF730C"/>
    <w:rsid w:val="00FF73F4"/>
    <w:rsid w:val="00FF7CE4"/>
    <w:rsid w:val="00FF7E39"/>
    <w:rsid w:val="038D16A3"/>
    <w:rsid w:val="048760F2"/>
    <w:rsid w:val="04AE6973"/>
    <w:rsid w:val="05E377CB"/>
    <w:rsid w:val="06927FFE"/>
    <w:rsid w:val="069E6B22"/>
    <w:rsid w:val="06A35673"/>
    <w:rsid w:val="07462294"/>
    <w:rsid w:val="076170CE"/>
    <w:rsid w:val="076F3599"/>
    <w:rsid w:val="09B8230B"/>
    <w:rsid w:val="0A3960E0"/>
    <w:rsid w:val="0C8C1700"/>
    <w:rsid w:val="0CF32576"/>
    <w:rsid w:val="0EC341CA"/>
    <w:rsid w:val="0FA70D9E"/>
    <w:rsid w:val="122D652B"/>
    <w:rsid w:val="12F928B1"/>
    <w:rsid w:val="13C23A0A"/>
    <w:rsid w:val="15BB209F"/>
    <w:rsid w:val="165E3DC0"/>
    <w:rsid w:val="173506A7"/>
    <w:rsid w:val="1863702E"/>
    <w:rsid w:val="198E64FA"/>
    <w:rsid w:val="19F93FF6"/>
    <w:rsid w:val="1AA1530A"/>
    <w:rsid w:val="1C4050AC"/>
    <w:rsid w:val="21902632"/>
    <w:rsid w:val="219F63D1"/>
    <w:rsid w:val="229D6DB5"/>
    <w:rsid w:val="22C56648"/>
    <w:rsid w:val="23BD17E3"/>
    <w:rsid w:val="243A5649"/>
    <w:rsid w:val="24781C84"/>
    <w:rsid w:val="24CF521F"/>
    <w:rsid w:val="2542353B"/>
    <w:rsid w:val="25AA0A80"/>
    <w:rsid w:val="26DB7EAB"/>
    <w:rsid w:val="270F1E1F"/>
    <w:rsid w:val="29F9686B"/>
    <w:rsid w:val="2A1056AF"/>
    <w:rsid w:val="2A225DF1"/>
    <w:rsid w:val="2BD40774"/>
    <w:rsid w:val="2C576226"/>
    <w:rsid w:val="2C7F39CF"/>
    <w:rsid w:val="2CDA2463"/>
    <w:rsid w:val="301B756B"/>
    <w:rsid w:val="33242BDA"/>
    <w:rsid w:val="342C7F98"/>
    <w:rsid w:val="35CF32D1"/>
    <w:rsid w:val="377F0D27"/>
    <w:rsid w:val="39B5458C"/>
    <w:rsid w:val="39D84F53"/>
    <w:rsid w:val="3BE63543"/>
    <w:rsid w:val="3BF910A8"/>
    <w:rsid w:val="423746D8"/>
    <w:rsid w:val="423A41C8"/>
    <w:rsid w:val="42ED123B"/>
    <w:rsid w:val="437A6A42"/>
    <w:rsid w:val="43B43AC3"/>
    <w:rsid w:val="43D95FFF"/>
    <w:rsid w:val="44030F25"/>
    <w:rsid w:val="446403B1"/>
    <w:rsid w:val="44CD3E71"/>
    <w:rsid w:val="471A0D5A"/>
    <w:rsid w:val="477B4039"/>
    <w:rsid w:val="489265AB"/>
    <w:rsid w:val="48AA67FC"/>
    <w:rsid w:val="48FF3A76"/>
    <w:rsid w:val="4A5D4EF8"/>
    <w:rsid w:val="4A7E27C2"/>
    <w:rsid w:val="4B4D7EEE"/>
    <w:rsid w:val="4B711FB8"/>
    <w:rsid w:val="4B756271"/>
    <w:rsid w:val="4BA91A77"/>
    <w:rsid w:val="4C157063"/>
    <w:rsid w:val="4C5B0FC3"/>
    <w:rsid w:val="4EBE2ACF"/>
    <w:rsid w:val="4EEF58EE"/>
    <w:rsid w:val="4F302BDB"/>
    <w:rsid w:val="4F8A5602"/>
    <w:rsid w:val="50400555"/>
    <w:rsid w:val="50B463F5"/>
    <w:rsid w:val="51B03B5F"/>
    <w:rsid w:val="547A48F8"/>
    <w:rsid w:val="559B4B26"/>
    <w:rsid w:val="57631C04"/>
    <w:rsid w:val="5790495D"/>
    <w:rsid w:val="57D85BBE"/>
    <w:rsid w:val="58991106"/>
    <w:rsid w:val="58C6010C"/>
    <w:rsid w:val="5C6340A3"/>
    <w:rsid w:val="5D996534"/>
    <w:rsid w:val="5DE3706A"/>
    <w:rsid w:val="60696BC9"/>
    <w:rsid w:val="614E6EF1"/>
    <w:rsid w:val="63F17898"/>
    <w:rsid w:val="63F43E2E"/>
    <w:rsid w:val="63F62FDB"/>
    <w:rsid w:val="6646463A"/>
    <w:rsid w:val="67290ACE"/>
    <w:rsid w:val="680B763B"/>
    <w:rsid w:val="68476448"/>
    <w:rsid w:val="6A8B4D12"/>
    <w:rsid w:val="6C0703C8"/>
    <w:rsid w:val="6C465394"/>
    <w:rsid w:val="6CBC1713"/>
    <w:rsid w:val="6CD429A0"/>
    <w:rsid w:val="6CD57DDC"/>
    <w:rsid w:val="6DA73C10"/>
    <w:rsid w:val="6DC742B3"/>
    <w:rsid w:val="6E5A654A"/>
    <w:rsid w:val="6EE90259"/>
    <w:rsid w:val="6F0F4163"/>
    <w:rsid w:val="71453480"/>
    <w:rsid w:val="71F65166"/>
    <w:rsid w:val="72C963D7"/>
    <w:rsid w:val="72EA0E5D"/>
    <w:rsid w:val="73015CD4"/>
    <w:rsid w:val="732B7935"/>
    <w:rsid w:val="7484624E"/>
    <w:rsid w:val="756346C1"/>
    <w:rsid w:val="762304F4"/>
    <w:rsid w:val="768A40CF"/>
    <w:rsid w:val="775E5C88"/>
    <w:rsid w:val="77E141C3"/>
    <w:rsid w:val="7C22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basedOn w:val="123"/>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basedOn w:val="126"/>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2">
    <w:name w:val="一级无"/>
    <w:basedOn w:val="1"/>
    <w:qFormat/>
    <w:uiPriority w:val="0"/>
    <w:pPr>
      <w:widowControl/>
      <w:adjustRightInd/>
      <w:spacing w:line="240" w:lineRule="auto"/>
      <w:ind w:left="210"/>
      <w:jc w:val="left"/>
      <w:outlineLvl w:val="2"/>
    </w:pPr>
    <w:rPr>
      <w:rFonts w:ascii="宋体" w:hAnsi="Times New Roman"/>
      <w:kern w:val="0"/>
    </w:r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769C20560B4336A640E55694E2DAA6"/>
        <w:style w:val=""/>
        <w:category>
          <w:name w:val="常规"/>
          <w:gallery w:val="placeholder"/>
        </w:category>
        <w:types>
          <w:type w:val="bbPlcHdr"/>
        </w:types>
        <w:behaviors>
          <w:behavior w:val="content"/>
        </w:behaviors>
        <w:description w:val=""/>
        <w:guid w:val="{B90A031A-F587-4440-A1E8-86C509F555D1}"/>
      </w:docPartPr>
      <w:docPartBody>
        <w:p>
          <w:pPr>
            <w:pStyle w:val="5"/>
            <w:rPr>
              <w:rFonts w:hint="eastAsia"/>
            </w:rPr>
          </w:pPr>
          <w:r>
            <w:rPr>
              <w:rStyle w:val="4"/>
              <w:rFonts w:hint="eastAsia"/>
            </w:rPr>
            <w:t>单击或点击此处输入文字。</w:t>
          </w:r>
        </w:p>
      </w:docPartBody>
    </w:docPart>
    <w:docPart>
      <w:docPartPr>
        <w:name w:val="692EDE83A577464B92EAFCEF836F9E1B"/>
        <w:style w:val=""/>
        <w:category>
          <w:name w:val="常规"/>
          <w:gallery w:val="placeholder"/>
        </w:category>
        <w:types>
          <w:type w:val="bbPlcHdr"/>
        </w:types>
        <w:behaviors>
          <w:behavior w:val="content"/>
        </w:behaviors>
        <w:description w:val=""/>
        <w:guid w:val="{3FD7E5FC-625D-495B-8D0B-B8F7FB2C6EB1}"/>
      </w:docPartPr>
      <w:docPartBody>
        <w:p>
          <w:pPr>
            <w:pStyle w:val="6"/>
            <w:rPr>
              <w:rFonts w:hint="eastAsia"/>
            </w:rPr>
          </w:pPr>
          <w:r>
            <w:rPr>
              <w:rStyle w:val="4"/>
              <w:rFonts w:hint="eastAsia"/>
            </w:rPr>
            <w:t>选择一项。</w:t>
          </w:r>
        </w:p>
      </w:docPartBody>
    </w:docPart>
    <w:docPart>
      <w:docPartPr>
        <w:name w:val="DAC58C12D7344004B93E81DEA404ACF7"/>
        <w:style w:val=""/>
        <w:category>
          <w:name w:val="常规"/>
          <w:gallery w:val="placeholder"/>
        </w:category>
        <w:types>
          <w:type w:val="bbPlcHdr"/>
        </w:types>
        <w:behaviors>
          <w:behavior w:val="content"/>
        </w:behaviors>
        <w:description w:val=""/>
        <w:guid w:val="{F36BF133-011A-436A-961A-DD302C1EBC6B}"/>
      </w:docPartPr>
      <w:docPartBody>
        <w:p>
          <w:pPr>
            <w:pStyle w:val="7"/>
            <w:rPr>
              <w:rFonts w:hint="eastAsia"/>
            </w:rPr>
          </w:pPr>
          <w:r>
            <w:rPr>
              <w:rStyle w:val="4"/>
              <w:rFonts w:hint="eastAsia"/>
            </w:rPr>
            <w:t>选择一项。</w:t>
          </w:r>
        </w:p>
      </w:docPartBody>
    </w:docPart>
    <w:docPart>
      <w:docPartPr>
        <w:name w:val="{fa439b7a-6023-4233-be8f-fa745fa35b07}"/>
        <w:style w:val=""/>
        <w:category>
          <w:name w:val="常规"/>
          <w:gallery w:val="placeholder"/>
        </w:category>
        <w:types>
          <w:type w:val="bbPlcHdr"/>
        </w:types>
        <w:behaviors>
          <w:behavior w:val="content"/>
        </w:behaviors>
        <w:description w:val=""/>
        <w:guid w:val="{FA439B7A-6023-4233-BE8F-FA745FA35B07}"/>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92"/>
    <w:rsid w:val="000A7FE5"/>
    <w:rsid w:val="00135188"/>
    <w:rsid w:val="0014489F"/>
    <w:rsid w:val="00147145"/>
    <w:rsid w:val="00212FEA"/>
    <w:rsid w:val="004661FF"/>
    <w:rsid w:val="004748AA"/>
    <w:rsid w:val="00533474"/>
    <w:rsid w:val="005760A2"/>
    <w:rsid w:val="00657ECA"/>
    <w:rsid w:val="006D5DC6"/>
    <w:rsid w:val="00752E4F"/>
    <w:rsid w:val="008F3C35"/>
    <w:rsid w:val="009B144C"/>
    <w:rsid w:val="00A025E3"/>
    <w:rsid w:val="00A60BB3"/>
    <w:rsid w:val="00BB3D31"/>
    <w:rsid w:val="00C74492"/>
    <w:rsid w:val="00D5560C"/>
    <w:rsid w:val="00F01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2769C20560B4336A640E55694E2DA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92EDE83A577464B92EAFCEF836F9E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AC58C12D7344004B93E81DEA404ACF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BEAC-70A5-4496-A090-AFBA37920FED}">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886</Words>
  <Characters>5051</Characters>
  <Lines>42</Lines>
  <Paragraphs>11</Paragraphs>
  <TotalTime>0</TotalTime>
  <ScaleCrop>false</ScaleCrop>
  <LinksUpToDate>false</LinksUpToDate>
  <CharactersWithSpaces>5926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2022-02-24T01:49:00Z</dcterms:created>
  <dc:creator>曾坤宏</dc:creator>
  <dc:description>&lt;config cover="true" show_menu="true" version="1.0.0" doctype="SDKXY"&gt;_x000d_
&lt;/config&gt;</dc:description>
  <cp:lastModifiedBy>sunnyxrdragon</cp:lastModifiedBy>
  <cp:lastPrinted>2022-05-16T07:11:00Z</cp:lastPrinted>
  <dcterms:modified xsi:type="dcterms:W3CDTF">2025-09-28T06:38:29Z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E326D016060B4C7682589D8B9958B76A_13</vt:lpwstr>
  </property>
</Properties>
</file>